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1B0D" w14:textId="469CF335" w:rsidR="000B35DA" w:rsidRPr="001F1FD3" w:rsidRDefault="000B35DA" w:rsidP="000B35DA">
      <w:pPr>
        <w:rPr>
          <w:rFonts w:ascii="Arial" w:hAnsi="Arial" w:cs="Arial"/>
          <w:noProof/>
          <w:sz w:val="32"/>
          <w:szCs w:val="32"/>
        </w:rPr>
      </w:pPr>
    </w:p>
    <w:p w14:paraId="613C2D69" w14:textId="068C1554" w:rsidR="000B35DA" w:rsidRPr="00DB0E2A" w:rsidRDefault="000B35DA" w:rsidP="000B35DA">
      <w:pPr>
        <w:rPr>
          <w:rFonts w:ascii="Arial" w:hAnsi="Arial" w:cs="Arial"/>
          <w:b/>
          <w:bCs/>
          <w:sz w:val="40"/>
          <w:szCs w:val="40"/>
        </w:rPr>
      </w:pPr>
      <w:r w:rsidRPr="00DB0E2A">
        <w:rPr>
          <w:rFonts w:ascii="Arial" w:hAnsi="Arial" w:cs="Arial"/>
          <w:b/>
          <w:bCs/>
          <w:sz w:val="40"/>
          <w:szCs w:val="40"/>
        </w:rPr>
        <w:t>Jurisprudence</w:t>
      </w:r>
    </w:p>
    <w:p w14:paraId="471ADBEE" w14:textId="6C741DF0" w:rsidR="00291007" w:rsidRDefault="00291007" w:rsidP="000B35DA">
      <w:pPr>
        <w:rPr>
          <w:rFonts w:ascii="Arial" w:hAnsi="Arial" w:cs="Arial"/>
          <w:sz w:val="32"/>
          <w:szCs w:val="32"/>
        </w:rPr>
      </w:pPr>
    </w:p>
    <w:p w14:paraId="3DAD7048" w14:textId="3B5DF092" w:rsidR="00291007" w:rsidRDefault="00291007" w:rsidP="000B35DA">
      <w:pPr>
        <w:rPr>
          <w:rFonts w:ascii="Arial" w:hAnsi="Arial" w:cs="Arial"/>
          <w:sz w:val="32"/>
          <w:szCs w:val="32"/>
        </w:rPr>
      </w:pPr>
      <w:r>
        <w:rPr>
          <w:rFonts w:ascii="Arial" w:hAnsi="Arial" w:cs="Arial"/>
          <w:sz w:val="32"/>
          <w:szCs w:val="32"/>
        </w:rPr>
        <w:t>Arrêt</w:t>
      </w:r>
    </w:p>
    <w:p w14:paraId="277683A0" w14:textId="08A459BC" w:rsidR="001F1FD3" w:rsidRDefault="001F1FD3" w:rsidP="000B35DA">
      <w:pPr>
        <w:rPr>
          <w:rFonts w:ascii="Arial" w:hAnsi="Arial" w:cs="Arial"/>
          <w:sz w:val="32"/>
          <w:szCs w:val="32"/>
        </w:rPr>
      </w:pPr>
    </w:p>
    <w:tbl>
      <w:tblPr>
        <w:tblStyle w:val="Grilledutableau"/>
        <w:tblpPr w:leftFromText="141" w:rightFromText="141" w:vertAnchor="text" w:horzAnchor="margin" w:tblpY="192"/>
        <w:tblW w:w="10835" w:type="dxa"/>
        <w:tblLayout w:type="fixed"/>
        <w:tblLook w:val="04A0" w:firstRow="1" w:lastRow="0" w:firstColumn="1" w:lastColumn="0" w:noHBand="0" w:noVBand="1"/>
      </w:tblPr>
      <w:tblGrid>
        <w:gridCol w:w="5472"/>
        <w:gridCol w:w="5363"/>
      </w:tblGrid>
      <w:tr w:rsidR="001F1FD3" w:rsidRPr="008652C7" w14:paraId="3A488127" w14:textId="77777777" w:rsidTr="00767B21">
        <w:tc>
          <w:tcPr>
            <w:tcW w:w="5472" w:type="dxa"/>
            <w:shd w:val="clear" w:color="auto" w:fill="F2F2F2" w:themeFill="background1" w:themeFillShade="F2"/>
          </w:tcPr>
          <w:p w14:paraId="3D218637" w14:textId="77777777" w:rsidR="001F1FD3" w:rsidRPr="008652C7" w:rsidRDefault="001F1FD3" w:rsidP="00767B21">
            <w:pPr>
              <w:jc w:val="both"/>
              <w:rPr>
                <w:rFonts w:ascii="Arial" w:hAnsi="Arial" w:cs="Arial"/>
                <w:sz w:val="22"/>
              </w:rPr>
            </w:pPr>
            <w:r w:rsidRPr="008652C7">
              <w:rPr>
                <w:rFonts w:ascii="Arial" w:hAnsi="Arial" w:cs="Arial"/>
                <w:sz w:val="22"/>
              </w:rPr>
              <w:t>Numéro de la décision</w:t>
            </w:r>
          </w:p>
          <w:p w14:paraId="4A26D1E2" w14:textId="77777777" w:rsidR="001F1FD3" w:rsidRPr="008652C7" w:rsidRDefault="001F1FD3" w:rsidP="00767B21">
            <w:pPr>
              <w:jc w:val="both"/>
              <w:rPr>
                <w:rFonts w:ascii="Arial" w:eastAsia="Times New Roman" w:hAnsi="Arial" w:cs="Arial"/>
                <w:color w:val="000000"/>
                <w:sz w:val="22"/>
              </w:rPr>
            </w:pPr>
          </w:p>
        </w:tc>
        <w:tc>
          <w:tcPr>
            <w:tcW w:w="5363" w:type="dxa"/>
          </w:tcPr>
          <w:p w14:paraId="4E4EA624" w14:textId="1BB9FFCA" w:rsidR="001F1FD3" w:rsidRPr="008652C7" w:rsidRDefault="00277440" w:rsidP="00767B21">
            <w:pPr>
              <w:jc w:val="both"/>
              <w:rPr>
                <w:rFonts w:ascii="Arial" w:eastAsia="Times New Roman" w:hAnsi="Arial" w:cs="Arial"/>
                <w:color w:val="000000"/>
                <w:sz w:val="22"/>
              </w:rPr>
            </w:pPr>
            <w:r>
              <w:rPr>
                <w:rFonts w:ascii="Arial" w:eastAsia="Times New Roman" w:hAnsi="Arial" w:cs="Arial"/>
                <w:color w:val="000000"/>
                <w:sz w:val="22"/>
              </w:rPr>
              <w:t>1C_</w:t>
            </w:r>
            <w:r w:rsidR="004E0A9E">
              <w:rPr>
                <w:rFonts w:ascii="Arial" w:eastAsia="Times New Roman" w:hAnsi="Arial" w:cs="Arial"/>
                <w:color w:val="000000"/>
                <w:sz w:val="22"/>
              </w:rPr>
              <w:t>620</w:t>
            </w:r>
            <w:r w:rsidR="00D6441B">
              <w:rPr>
                <w:rFonts w:ascii="Arial" w:eastAsia="Times New Roman" w:hAnsi="Arial" w:cs="Arial"/>
                <w:color w:val="000000"/>
                <w:sz w:val="22"/>
              </w:rPr>
              <w:t>/202</w:t>
            </w:r>
            <w:r w:rsidR="004E0A9E">
              <w:rPr>
                <w:rFonts w:ascii="Arial" w:eastAsia="Times New Roman" w:hAnsi="Arial" w:cs="Arial"/>
                <w:color w:val="000000"/>
                <w:sz w:val="22"/>
              </w:rPr>
              <w:t xml:space="preserve">2 et </w:t>
            </w:r>
            <w:r w:rsidR="00374150">
              <w:rPr>
                <w:rFonts w:ascii="Arial" w:eastAsia="Times New Roman" w:hAnsi="Arial" w:cs="Arial"/>
                <w:color w:val="000000"/>
                <w:sz w:val="22"/>
              </w:rPr>
              <w:t>1C_621/2022</w:t>
            </w:r>
          </w:p>
        </w:tc>
      </w:tr>
      <w:tr w:rsidR="001F1FD3" w:rsidRPr="008652C7" w14:paraId="707DD29E" w14:textId="77777777" w:rsidTr="00767B21">
        <w:tc>
          <w:tcPr>
            <w:tcW w:w="5472" w:type="dxa"/>
            <w:shd w:val="clear" w:color="auto" w:fill="F2F2F2" w:themeFill="background1" w:themeFillShade="F2"/>
          </w:tcPr>
          <w:p w14:paraId="0A8F995A" w14:textId="77777777" w:rsidR="001F1FD3" w:rsidRPr="008652C7" w:rsidRDefault="001F1FD3" w:rsidP="00767B21">
            <w:pPr>
              <w:jc w:val="both"/>
              <w:rPr>
                <w:rFonts w:ascii="Arial" w:hAnsi="Arial" w:cs="Arial"/>
                <w:sz w:val="22"/>
              </w:rPr>
            </w:pPr>
            <w:r w:rsidRPr="008652C7">
              <w:rPr>
                <w:rFonts w:ascii="Arial" w:hAnsi="Arial" w:cs="Arial"/>
                <w:sz w:val="22"/>
              </w:rPr>
              <w:t>Date de la décision</w:t>
            </w:r>
          </w:p>
          <w:p w14:paraId="41FABF8D" w14:textId="77777777" w:rsidR="001F1FD3" w:rsidRPr="008652C7" w:rsidRDefault="001F1FD3" w:rsidP="00767B21">
            <w:pPr>
              <w:jc w:val="both"/>
              <w:rPr>
                <w:rFonts w:ascii="Arial" w:eastAsia="Times New Roman" w:hAnsi="Arial" w:cs="Arial"/>
                <w:color w:val="000000"/>
                <w:sz w:val="22"/>
              </w:rPr>
            </w:pPr>
          </w:p>
        </w:tc>
        <w:tc>
          <w:tcPr>
            <w:tcW w:w="5363" w:type="dxa"/>
          </w:tcPr>
          <w:p w14:paraId="4B93645B" w14:textId="456429EC" w:rsidR="001F1FD3" w:rsidRPr="008652C7" w:rsidRDefault="00374150" w:rsidP="00767B21">
            <w:pPr>
              <w:jc w:val="both"/>
              <w:rPr>
                <w:rFonts w:ascii="Arial" w:eastAsia="Times New Roman" w:hAnsi="Arial" w:cs="Arial"/>
                <w:color w:val="000000"/>
                <w:sz w:val="22"/>
              </w:rPr>
            </w:pPr>
            <w:r>
              <w:rPr>
                <w:rFonts w:ascii="Arial" w:eastAsia="Times New Roman" w:hAnsi="Arial" w:cs="Arial"/>
                <w:color w:val="000000"/>
                <w:sz w:val="22"/>
              </w:rPr>
              <w:t>26 septembre</w:t>
            </w:r>
            <w:r w:rsidR="00D6441B">
              <w:rPr>
                <w:rFonts w:ascii="Arial" w:eastAsia="Times New Roman" w:hAnsi="Arial" w:cs="Arial"/>
                <w:color w:val="000000"/>
                <w:sz w:val="22"/>
              </w:rPr>
              <w:t xml:space="preserve"> 2024</w:t>
            </w:r>
          </w:p>
        </w:tc>
      </w:tr>
      <w:tr w:rsidR="001F1FD3" w:rsidRPr="008652C7" w14:paraId="3C9227D9" w14:textId="77777777" w:rsidTr="00767B21">
        <w:tc>
          <w:tcPr>
            <w:tcW w:w="5472" w:type="dxa"/>
            <w:shd w:val="clear" w:color="auto" w:fill="F2F2F2" w:themeFill="background1" w:themeFillShade="F2"/>
          </w:tcPr>
          <w:p w14:paraId="2605F641" w14:textId="77777777" w:rsidR="001F1FD3" w:rsidRDefault="001F1FD3" w:rsidP="00767B21">
            <w:pPr>
              <w:jc w:val="both"/>
              <w:rPr>
                <w:rFonts w:ascii="Arial" w:eastAsia="Times New Roman" w:hAnsi="Arial" w:cs="Arial"/>
                <w:iCs/>
                <w:color w:val="000000"/>
                <w:sz w:val="22"/>
              </w:rPr>
            </w:pPr>
            <w:r w:rsidRPr="008652C7">
              <w:rPr>
                <w:rFonts w:ascii="Arial" w:eastAsia="Times New Roman" w:hAnsi="Arial" w:cs="Arial"/>
                <w:iCs/>
                <w:color w:val="000000"/>
                <w:sz w:val="22"/>
              </w:rPr>
              <w:t>Arrêt destiné à publication</w:t>
            </w:r>
          </w:p>
          <w:p w14:paraId="4DC4E305" w14:textId="77777777" w:rsidR="001F1FD3" w:rsidRPr="008652C7" w:rsidRDefault="001F1FD3" w:rsidP="00767B21">
            <w:pPr>
              <w:jc w:val="both"/>
              <w:rPr>
                <w:rFonts w:ascii="Arial" w:hAnsi="Arial" w:cs="Arial"/>
                <w:sz w:val="22"/>
              </w:rPr>
            </w:pPr>
          </w:p>
        </w:tc>
        <w:tc>
          <w:tcPr>
            <w:tcW w:w="5363" w:type="dxa"/>
          </w:tcPr>
          <w:p w14:paraId="154614A1" w14:textId="5EB94F89" w:rsidR="001F1FD3" w:rsidRPr="008652C7" w:rsidRDefault="002F1BB0" w:rsidP="00767B21">
            <w:pPr>
              <w:jc w:val="both"/>
              <w:rPr>
                <w:rFonts w:ascii="Arial" w:eastAsia="Times New Roman" w:hAnsi="Arial" w:cs="Arial"/>
                <w:color w:val="000000"/>
                <w:sz w:val="22"/>
              </w:rPr>
            </w:pPr>
            <w:r>
              <w:rPr>
                <w:rFonts w:ascii="Arial" w:eastAsia="Times New Roman" w:hAnsi="Arial" w:cs="Arial"/>
                <w:color w:val="000000"/>
                <w:sz w:val="22"/>
              </w:rPr>
              <w:t>Non</w:t>
            </w:r>
          </w:p>
        </w:tc>
      </w:tr>
    </w:tbl>
    <w:p w14:paraId="24133526" w14:textId="4213A222" w:rsidR="001F1FD3" w:rsidRDefault="001F1FD3" w:rsidP="000B35DA">
      <w:pPr>
        <w:rPr>
          <w:rFonts w:ascii="Arial" w:hAnsi="Arial" w:cs="Arial"/>
          <w:sz w:val="32"/>
          <w:szCs w:val="32"/>
        </w:rPr>
      </w:pPr>
    </w:p>
    <w:p w14:paraId="59B631DE" w14:textId="01BCE9FA" w:rsidR="005A04E9" w:rsidRDefault="005A04E9" w:rsidP="005A04E9">
      <w:pPr>
        <w:shd w:val="clear" w:color="auto" w:fill="FFFFFF"/>
        <w:spacing w:line="270" w:lineRule="atLeast"/>
        <w:jc w:val="both"/>
        <w:textAlignment w:val="baseline"/>
        <w:rPr>
          <w:rFonts w:ascii="Arial" w:eastAsia="Times New Roman" w:hAnsi="Arial" w:cs="Arial"/>
          <w:iCs/>
          <w:color w:val="000000"/>
          <w:sz w:val="32"/>
          <w:szCs w:val="32"/>
        </w:rPr>
      </w:pPr>
    </w:p>
    <w:p w14:paraId="4768BD50" w14:textId="18338753"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0BDB3CCB" w14:textId="74B7EFB7"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4F74339E" w14:textId="37ED2338"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1F6CE7A0" w14:textId="2FFE9528"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54ACE391" w14:textId="07A308D2"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14961D49" w14:textId="5DEE2773"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146C4DE2" w14:textId="19F4882F"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55192593" w14:textId="40C36293"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22A98A01" w14:textId="5D2011B7"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32549304" w14:textId="7198CBC1"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0DCD9A03" w14:textId="239A11F9"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68B04FBA" w14:textId="4EEF7D58"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54A86C96" w14:textId="5C5AAB9B"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1D762F7B" w14:textId="5A0830D0"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07457F12" w14:textId="10289169"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7F5F21A3" w14:textId="7F9A68C4"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61B21F76" w14:textId="096DE03D"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57404CFD" w14:textId="58D67507"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365475B2" w14:textId="6133F392"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211413F0" w14:textId="1A4DA73F"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3015D32F" w14:textId="50538DDC"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30761E52" w14:textId="3E75EAC2"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4CBBEC71" w14:textId="606A8E54"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72E32034" w14:textId="0E57561E" w:rsid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p w14:paraId="298FD502" w14:textId="147A8B6C" w:rsidR="00BC7A4E" w:rsidRDefault="00BC7A4E" w:rsidP="00BC7A4E">
      <w:pPr>
        <w:rPr>
          <w:rFonts w:ascii="Arial" w:hAnsi="Arial" w:cs="Arial"/>
          <w:sz w:val="32"/>
          <w:szCs w:val="32"/>
        </w:rPr>
      </w:pPr>
      <w:r>
        <w:rPr>
          <w:rFonts w:ascii="Arial" w:hAnsi="Arial" w:cs="Arial"/>
          <w:sz w:val="32"/>
          <w:szCs w:val="32"/>
        </w:rPr>
        <w:t>Résumé</w:t>
      </w:r>
    </w:p>
    <w:p w14:paraId="478F6DAD" w14:textId="77777777" w:rsidR="001F1FD3" w:rsidRPr="001F1FD3" w:rsidRDefault="001F1FD3" w:rsidP="005A04E9">
      <w:pPr>
        <w:shd w:val="clear" w:color="auto" w:fill="FFFFFF"/>
        <w:spacing w:line="270" w:lineRule="atLeast"/>
        <w:jc w:val="both"/>
        <w:textAlignment w:val="baseline"/>
        <w:rPr>
          <w:rFonts w:ascii="Arial" w:eastAsia="Times New Roman" w:hAnsi="Arial" w:cs="Arial"/>
          <w:iCs/>
          <w:color w:val="000000"/>
          <w:sz w:val="32"/>
          <w:szCs w:val="32"/>
        </w:rPr>
      </w:pPr>
    </w:p>
    <w:tbl>
      <w:tblPr>
        <w:tblStyle w:val="Grilledutableau"/>
        <w:tblpPr w:leftFromText="141" w:rightFromText="141" w:vertAnchor="page" w:horzAnchor="margin" w:tblpY="4111"/>
        <w:tblW w:w="10609" w:type="dxa"/>
        <w:tblLook w:val="04A0" w:firstRow="1" w:lastRow="0" w:firstColumn="1" w:lastColumn="0" w:noHBand="0" w:noVBand="1"/>
      </w:tblPr>
      <w:tblGrid>
        <w:gridCol w:w="5471"/>
        <w:gridCol w:w="5084"/>
        <w:gridCol w:w="54"/>
      </w:tblGrid>
      <w:tr w:rsidR="00897282" w:rsidRPr="008652C7" w14:paraId="2F55845F" w14:textId="77777777" w:rsidTr="00EA3A24">
        <w:trPr>
          <w:trHeight w:val="546"/>
        </w:trPr>
        <w:tc>
          <w:tcPr>
            <w:tcW w:w="5471" w:type="dxa"/>
            <w:shd w:val="clear" w:color="auto" w:fill="F2F2F2" w:themeFill="background1" w:themeFillShade="F2"/>
          </w:tcPr>
          <w:p w14:paraId="529FEB03" w14:textId="3FD30BD0" w:rsidR="009F7A9F" w:rsidRPr="008652C7" w:rsidRDefault="00760F44" w:rsidP="007710CD">
            <w:pPr>
              <w:shd w:val="clear" w:color="auto" w:fill="FFFFFF"/>
              <w:tabs>
                <w:tab w:val="right" w:pos="5255"/>
              </w:tabs>
              <w:spacing w:before="120" w:after="120" w:line="270" w:lineRule="atLeast"/>
              <w:textAlignment w:val="baseline"/>
              <w:rPr>
                <w:rFonts w:ascii="Arial" w:eastAsia="Times New Roman" w:hAnsi="Arial" w:cs="Arial"/>
                <w:iCs/>
                <w:color w:val="000000"/>
                <w:sz w:val="22"/>
              </w:rPr>
            </w:pPr>
            <w:r w:rsidRPr="008652C7">
              <w:rPr>
                <w:rFonts w:ascii="Arial" w:eastAsia="Times New Roman" w:hAnsi="Arial" w:cs="Arial"/>
                <w:iCs/>
                <w:color w:val="000000"/>
                <w:sz w:val="22"/>
              </w:rPr>
              <w:t>Collectivités territoriales </w:t>
            </w:r>
            <w:r w:rsidR="007710CD">
              <w:rPr>
                <w:rFonts w:ascii="Arial" w:eastAsia="Times New Roman" w:hAnsi="Arial" w:cs="Arial"/>
                <w:iCs/>
                <w:color w:val="000000"/>
                <w:sz w:val="22"/>
              </w:rPr>
              <w:t>(Suisse / canton / international)</w:t>
            </w:r>
          </w:p>
        </w:tc>
        <w:tc>
          <w:tcPr>
            <w:tcW w:w="5138" w:type="dxa"/>
            <w:gridSpan w:val="2"/>
          </w:tcPr>
          <w:p w14:paraId="5C07B91D" w14:textId="2484B78D" w:rsidR="009F7A9F" w:rsidRPr="008652C7" w:rsidRDefault="00357F2F" w:rsidP="000B35DA">
            <w:pPr>
              <w:spacing w:before="120" w:after="120" w:line="270" w:lineRule="atLeast"/>
              <w:jc w:val="both"/>
              <w:textAlignment w:val="baseline"/>
              <w:rPr>
                <w:rFonts w:ascii="Arial" w:eastAsia="Times New Roman" w:hAnsi="Arial" w:cs="Arial"/>
                <w:iCs/>
                <w:sz w:val="22"/>
              </w:rPr>
            </w:pPr>
            <w:r>
              <w:rPr>
                <w:rFonts w:ascii="Arial" w:eastAsia="Times New Roman" w:hAnsi="Arial" w:cs="Arial"/>
                <w:iCs/>
                <w:sz w:val="22"/>
              </w:rPr>
              <w:t>Canton</w:t>
            </w:r>
          </w:p>
        </w:tc>
      </w:tr>
      <w:tr w:rsidR="00897282" w:rsidRPr="008652C7" w14:paraId="2C187EF3" w14:textId="77777777" w:rsidTr="00EA3A24">
        <w:trPr>
          <w:trHeight w:val="530"/>
        </w:trPr>
        <w:tc>
          <w:tcPr>
            <w:tcW w:w="5471" w:type="dxa"/>
            <w:shd w:val="clear" w:color="auto" w:fill="F2F2F2" w:themeFill="background1" w:themeFillShade="F2"/>
          </w:tcPr>
          <w:p w14:paraId="7EC40D7F" w14:textId="77777777" w:rsidR="009F7A9F" w:rsidRPr="008652C7" w:rsidRDefault="00760F44" w:rsidP="000B35DA">
            <w:pPr>
              <w:shd w:val="clear" w:color="auto" w:fill="FFFFFF"/>
              <w:spacing w:before="120" w:after="120" w:line="270" w:lineRule="atLeast"/>
              <w:jc w:val="both"/>
              <w:textAlignment w:val="baseline"/>
              <w:rPr>
                <w:rFonts w:ascii="Arial" w:eastAsia="Times New Roman" w:hAnsi="Arial" w:cs="Arial"/>
                <w:iCs/>
                <w:color w:val="000000"/>
                <w:sz w:val="22"/>
              </w:rPr>
            </w:pPr>
            <w:r w:rsidRPr="008652C7">
              <w:rPr>
                <w:rFonts w:ascii="Arial" w:eastAsia="Times New Roman" w:hAnsi="Arial" w:cs="Arial"/>
                <w:iCs/>
                <w:color w:val="000000"/>
                <w:sz w:val="22"/>
              </w:rPr>
              <w:t>Nom du tribunal </w:t>
            </w:r>
          </w:p>
        </w:tc>
        <w:tc>
          <w:tcPr>
            <w:tcW w:w="5138" w:type="dxa"/>
            <w:gridSpan w:val="2"/>
          </w:tcPr>
          <w:p w14:paraId="4246AAF0" w14:textId="739AD32F" w:rsidR="009F7A9F" w:rsidRPr="008652C7" w:rsidRDefault="00293EEA" w:rsidP="000B35DA">
            <w:pPr>
              <w:spacing w:before="120" w:after="120" w:line="270" w:lineRule="atLeast"/>
              <w:jc w:val="both"/>
              <w:textAlignment w:val="baseline"/>
              <w:rPr>
                <w:rFonts w:ascii="Arial" w:eastAsia="Times New Roman" w:hAnsi="Arial" w:cs="Arial"/>
                <w:iCs/>
                <w:color w:val="000000"/>
                <w:sz w:val="22"/>
              </w:rPr>
            </w:pPr>
            <w:r>
              <w:rPr>
                <w:rFonts w:ascii="Arial" w:eastAsia="Times New Roman" w:hAnsi="Arial" w:cs="Arial"/>
                <w:iCs/>
                <w:color w:val="000000"/>
                <w:sz w:val="22"/>
              </w:rPr>
              <w:t>Tribunal fédéral</w:t>
            </w:r>
          </w:p>
        </w:tc>
      </w:tr>
      <w:tr w:rsidR="00897282" w:rsidRPr="008652C7" w14:paraId="74669C65" w14:textId="77777777" w:rsidTr="00EA3A24">
        <w:trPr>
          <w:trHeight w:val="535"/>
        </w:trPr>
        <w:tc>
          <w:tcPr>
            <w:tcW w:w="5471" w:type="dxa"/>
            <w:shd w:val="clear" w:color="auto" w:fill="F2F2F2" w:themeFill="background1" w:themeFillShade="F2"/>
          </w:tcPr>
          <w:p w14:paraId="42CAE7E0" w14:textId="77777777" w:rsidR="009F7A9F" w:rsidRPr="008652C7" w:rsidRDefault="00760F44" w:rsidP="000B35DA">
            <w:pPr>
              <w:shd w:val="clear" w:color="auto" w:fill="FFFFFF"/>
              <w:spacing w:before="120" w:after="120" w:line="270" w:lineRule="atLeast"/>
              <w:jc w:val="both"/>
              <w:textAlignment w:val="baseline"/>
              <w:rPr>
                <w:rFonts w:ascii="Arial" w:eastAsia="Times New Roman" w:hAnsi="Arial" w:cs="Arial"/>
                <w:iCs/>
                <w:color w:val="000000"/>
                <w:sz w:val="22"/>
              </w:rPr>
            </w:pPr>
            <w:r w:rsidRPr="008652C7">
              <w:rPr>
                <w:rFonts w:ascii="Arial" w:eastAsia="Times New Roman" w:hAnsi="Arial" w:cs="Arial"/>
                <w:iCs/>
                <w:color w:val="000000"/>
                <w:sz w:val="22"/>
              </w:rPr>
              <w:t>Objet de la décision</w:t>
            </w:r>
          </w:p>
        </w:tc>
        <w:tc>
          <w:tcPr>
            <w:tcW w:w="5138" w:type="dxa"/>
            <w:gridSpan w:val="2"/>
          </w:tcPr>
          <w:p w14:paraId="7D2E4DAB" w14:textId="0A296651" w:rsidR="009F7A9F" w:rsidRPr="008652C7" w:rsidRDefault="0004606D" w:rsidP="000B35DA">
            <w:pPr>
              <w:spacing w:before="120" w:after="120" w:line="270" w:lineRule="atLeast"/>
              <w:jc w:val="both"/>
              <w:textAlignment w:val="baseline"/>
              <w:rPr>
                <w:rFonts w:ascii="Arial" w:eastAsia="Times New Roman" w:hAnsi="Arial" w:cs="Arial"/>
                <w:iCs/>
                <w:color w:val="000000"/>
                <w:sz w:val="22"/>
                <w:lang w:val="fr-CH"/>
              </w:rPr>
            </w:pPr>
            <w:r>
              <w:rPr>
                <w:rFonts w:ascii="Arial" w:eastAsia="Times New Roman" w:hAnsi="Arial" w:cs="Arial"/>
                <w:iCs/>
                <w:color w:val="000000"/>
                <w:sz w:val="22"/>
                <w:lang w:val="fr-CH"/>
              </w:rPr>
              <w:t>Implantation d’un centre commercial</w:t>
            </w:r>
          </w:p>
        </w:tc>
      </w:tr>
      <w:tr w:rsidR="00897282" w:rsidRPr="008652C7" w14:paraId="0E9BCA69" w14:textId="77777777" w:rsidTr="00EA3A24">
        <w:trPr>
          <w:trHeight w:val="546"/>
        </w:trPr>
        <w:tc>
          <w:tcPr>
            <w:tcW w:w="5471" w:type="dxa"/>
            <w:shd w:val="clear" w:color="auto" w:fill="F2F2F2" w:themeFill="background1" w:themeFillShade="F2"/>
          </w:tcPr>
          <w:p w14:paraId="1F8AB186" w14:textId="5C66D17D" w:rsidR="009F7A9F" w:rsidRPr="008652C7" w:rsidRDefault="00760F44" w:rsidP="000B35DA">
            <w:pPr>
              <w:shd w:val="clear" w:color="auto" w:fill="FFFFFF"/>
              <w:spacing w:before="120" w:after="120" w:line="270" w:lineRule="atLeast"/>
              <w:jc w:val="both"/>
              <w:textAlignment w:val="baseline"/>
              <w:rPr>
                <w:rFonts w:ascii="Arial" w:eastAsia="Times New Roman" w:hAnsi="Arial" w:cs="Arial"/>
                <w:iCs/>
                <w:color w:val="000000"/>
                <w:sz w:val="22"/>
              </w:rPr>
            </w:pPr>
            <w:r w:rsidRPr="008652C7">
              <w:rPr>
                <w:rFonts w:ascii="Arial" w:eastAsia="Times New Roman" w:hAnsi="Arial" w:cs="Arial"/>
                <w:iCs/>
                <w:color w:val="000000"/>
                <w:sz w:val="22"/>
              </w:rPr>
              <w:t>Domaine du droit </w:t>
            </w:r>
            <w:r w:rsidR="00D1692E" w:rsidRPr="008652C7">
              <w:rPr>
                <w:rFonts w:ascii="Arial" w:eastAsia="Times New Roman" w:hAnsi="Arial" w:cs="Arial"/>
                <w:iCs/>
                <w:color w:val="000000"/>
                <w:sz w:val="22"/>
              </w:rPr>
              <w:t>(à choisir dans la liste)</w:t>
            </w:r>
          </w:p>
        </w:tc>
        <w:tc>
          <w:tcPr>
            <w:tcW w:w="5138" w:type="dxa"/>
            <w:gridSpan w:val="2"/>
          </w:tcPr>
          <w:p w14:paraId="26C92BA3" w14:textId="23EFFC9F" w:rsidR="009F7A9F" w:rsidRPr="008652C7" w:rsidRDefault="00133C73" w:rsidP="000B35DA">
            <w:pPr>
              <w:spacing w:before="120" w:after="120" w:line="270" w:lineRule="atLeast"/>
              <w:jc w:val="both"/>
              <w:textAlignment w:val="baseline"/>
              <w:rPr>
                <w:rFonts w:ascii="Arial" w:eastAsia="Times New Roman" w:hAnsi="Arial" w:cs="Arial"/>
                <w:iCs/>
                <w:color w:val="000000"/>
                <w:sz w:val="22"/>
              </w:rPr>
            </w:pPr>
            <w:r>
              <w:rPr>
                <w:rFonts w:ascii="Arial" w:eastAsia="Times New Roman" w:hAnsi="Arial" w:cs="Arial"/>
                <w:iCs/>
                <w:color w:val="000000"/>
                <w:sz w:val="22"/>
              </w:rPr>
              <w:t>Divers et principes généraux</w:t>
            </w:r>
          </w:p>
        </w:tc>
      </w:tr>
      <w:tr w:rsidR="00897282" w:rsidRPr="008652C7" w14:paraId="6F7E0F0D" w14:textId="77777777" w:rsidTr="00EA3A24">
        <w:trPr>
          <w:trHeight w:val="530"/>
        </w:trPr>
        <w:tc>
          <w:tcPr>
            <w:tcW w:w="5471" w:type="dxa"/>
            <w:shd w:val="clear" w:color="auto" w:fill="F2F2F2" w:themeFill="background1" w:themeFillShade="F2"/>
          </w:tcPr>
          <w:p w14:paraId="09B0C87C" w14:textId="704988D7" w:rsidR="009F7A9F" w:rsidRPr="008652C7" w:rsidRDefault="00760F44" w:rsidP="000B35DA">
            <w:pPr>
              <w:shd w:val="clear" w:color="auto" w:fill="FFFFFF"/>
              <w:spacing w:before="120" w:after="120" w:line="270" w:lineRule="atLeast"/>
              <w:jc w:val="both"/>
              <w:textAlignment w:val="baseline"/>
              <w:rPr>
                <w:rFonts w:ascii="Arial" w:eastAsia="Times New Roman" w:hAnsi="Arial" w:cs="Arial"/>
                <w:iCs/>
                <w:color w:val="000000"/>
                <w:sz w:val="22"/>
              </w:rPr>
            </w:pPr>
            <w:r w:rsidRPr="008652C7">
              <w:rPr>
                <w:rFonts w:ascii="Arial" w:eastAsia="Times New Roman" w:hAnsi="Arial" w:cs="Arial"/>
                <w:iCs/>
                <w:color w:val="000000"/>
                <w:sz w:val="22"/>
              </w:rPr>
              <w:t>Mots-clés </w:t>
            </w:r>
            <w:r w:rsidR="00D1692E" w:rsidRPr="008652C7">
              <w:rPr>
                <w:rFonts w:ascii="Arial" w:eastAsia="Times New Roman" w:hAnsi="Arial" w:cs="Arial"/>
                <w:iCs/>
                <w:color w:val="000000"/>
                <w:sz w:val="22"/>
              </w:rPr>
              <w:t>(à choisir dans la liste)</w:t>
            </w:r>
          </w:p>
        </w:tc>
        <w:tc>
          <w:tcPr>
            <w:tcW w:w="5138" w:type="dxa"/>
            <w:gridSpan w:val="2"/>
          </w:tcPr>
          <w:p w14:paraId="5E07E236" w14:textId="1EA8AA87" w:rsidR="009F7A9F" w:rsidRPr="008652C7" w:rsidRDefault="00133C73" w:rsidP="000B35DA">
            <w:pPr>
              <w:spacing w:before="120" w:after="120" w:line="270" w:lineRule="atLeast"/>
              <w:jc w:val="both"/>
              <w:textAlignment w:val="baseline"/>
              <w:rPr>
                <w:rFonts w:ascii="Arial" w:eastAsia="Times New Roman" w:hAnsi="Arial" w:cs="Arial"/>
                <w:iCs/>
                <w:color w:val="000000"/>
                <w:sz w:val="22"/>
              </w:rPr>
            </w:pPr>
            <w:r>
              <w:rPr>
                <w:rFonts w:ascii="Arial" w:eastAsia="Times New Roman" w:hAnsi="Arial" w:cs="Arial"/>
                <w:iCs/>
                <w:color w:val="000000"/>
                <w:sz w:val="22"/>
              </w:rPr>
              <w:t>Principe de coordination</w:t>
            </w:r>
          </w:p>
        </w:tc>
      </w:tr>
      <w:tr w:rsidR="00897282" w:rsidRPr="001F6DB9" w14:paraId="085AA65D" w14:textId="77777777" w:rsidTr="00EA3A24">
        <w:trPr>
          <w:trHeight w:val="546"/>
        </w:trPr>
        <w:tc>
          <w:tcPr>
            <w:tcW w:w="5471" w:type="dxa"/>
            <w:shd w:val="clear" w:color="auto" w:fill="F2F2F2" w:themeFill="background1" w:themeFillShade="F2"/>
          </w:tcPr>
          <w:p w14:paraId="521452F8" w14:textId="77777777" w:rsidR="009F7A9F" w:rsidRPr="008652C7" w:rsidRDefault="00760F44" w:rsidP="000B35DA">
            <w:pPr>
              <w:shd w:val="clear" w:color="auto" w:fill="FFFFFF"/>
              <w:spacing w:before="120" w:after="120" w:line="270" w:lineRule="atLeast"/>
              <w:jc w:val="both"/>
              <w:textAlignment w:val="baseline"/>
              <w:rPr>
                <w:rFonts w:ascii="Arial" w:eastAsia="Times New Roman" w:hAnsi="Arial" w:cs="Arial"/>
                <w:iCs/>
                <w:color w:val="000000"/>
                <w:sz w:val="22"/>
              </w:rPr>
            </w:pPr>
            <w:r w:rsidRPr="008652C7">
              <w:rPr>
                <w:rFonts w:ascii="Arial" w:eastAsia="Times New Roman" w:hAnsi="Arial" w:cs="Arial"/>
                <w:iCs/>
                <w:color w:val="000000"/>
                <w:sz w:val="22"/>
              </w:rPr>
              <w:t>Articles de loi </w:t>
            </w:r>
          </w:p>
        </w:tc>
        <w:tc>
          <w:tcPr>
            <w:tcW w:w="5138" w:type="dxa"/>
            <w:gridSpan w:val="2"/>
          </w:tcPr>
          <w:p w14:paraId="70BFC7A3" w14:textId="7C8CB439" w:rsidR="00967BE4" w:rsidRPr="00930B79" w:rsidRDefault="00930B79" w:rsidP="000B35DA">
            <w:pPr>
              <w:spacing w:before="120" w:after="120" w:line="270" w:lineRule="atLeast"/>
              <w:jc w:val="both"/>
              <w:textAlignment w:val="baseline"/>
              <w:rPr>
                <w:rFonts w:ascii="Arial" w:hAnsi="Arial" w:cs="Arial"/>
                <w:color w:val="000000"/>
                <w:sz w:val="22"/>
                <w:lang w:val="en-US"/>
              </w:rPr>
            </w:pPr>
            <w:r w:rsidRPr="00930B79">
              <w:rPr>
                <w:rFonts w:ascii="Arial" w:hAnsi="Arial" w:cs="Arial"/>
                <w:color w:val="000000"/>
                <w:sz w:val="22"/>
                <w:lang w:val="en-US"/>
              </w:rPr>
              <w:t xml:space="preserve">Art. </w:t>
            </w:r>
            <w:r w:rsidR="00133C73">
              <w:rPr>
                <w:rFonts w:ascii="Arial" w:hAnsi="Arial" w:cs="Arial"/>
                <w:color w:val="000000"/>
                <w:sz w:val="22"/>
                <w:lang w:val="en-US"/>
              </w:rPr>
              <w:t>2</w:t>
            </w:r>
            <w:r w:rsidR="00466DCC">
              <w:rPr>
                <w:rFonts w:ascii="Arial" w:hAnsi="Arial" w:cs="Arial"/>
                <w:color w:val="000000"/>
                <w:sz w:val="22"/>
                <w:lang w:val="en-US"/>
              </w:rPr>
              <w:t>5</w:t>
            </w:r>
            <w:r w:rsidR="00133C73">
              <w:rPr>
                <w:rFonts w:ascii="Arial" w:hAnsi="Arial" w:cs="Arial"/>
                <w:color w:val="000000"/>
                <w:sz w:val="22"/>
                <w:lang w:val="en-US"/>
              </w:rPr>
              <w:t>a</w:t>
            </w:r>
            <w:r w:rsidR="00132C37">
              <w:rPr>
                <w:rFonts w:ascii="Arial" w:hAnsi="Arial" w:cs="Arial"/>
                <w:color w:val="000000"/>
                <w:sz w:val="22"/>
                <w:lang w:val="en-US"/>
              </w:rPr>
              <w:t xml:space="preserve"> LAT</w:t>
            </w:r>
          </w:p>
        </w:tc>
      </w:tr>
      <w:tr w:rsidR="00F152C9" w:rsidRPr="00302BE8" w14:paraId="6C3AF996" w14:textId="77777777" w:rsidTr="00EA3A24">
        <w:trPr>
          <w:trHeight w:val="546"/>
        </w:trPr>
        <w:tc>
          <w:tcPr>
            <w:tcW w:w="5471" w:type="dxa"/>
            <w:shd w:val="clear" w:color="auto" w:fill="F2F2F2" w:themeFill="background1" w:themeFillShade="F2"/>
          </w:tcPr>
          <w:p w14:paraId="67460EC0" w14:textId="360820B6" w:rsidR="00F152C9" w:rsidRPr="008652C7" w:rsidRDefault="00F152C9" w:rsidP="000B35DA">
            <w:pPr>
              <w:shd w:val="clear" w:color="auto" w:fill="FFFFFF"/>
              <w:spacing w:before="120" w:after="120" w:line="270" w:lineRule="atLeast"/>
              <w:jc w:val="both"/>
              <w:textAlignment w:val="baseline"/>
              <w:rPr>
                <w:rFonts w:ascii="Arial" w:eastAsia="Times New Roman" w:hAnsi="Arial" w:cs="Arial"/>
                <w:iCs/>
                <w:color w:val="000000"/>
                <w:sz w:val="22"/>
              </w:rPr>
            </w:pPr>
            <w:r>
              <w:rPr>
                <w:rFonts w:ascii="Arial" w:eastAsia="Times New Roman" w:hAnsi="Arial" w:cs="Arial"/>
                <w:iCs/>
                <w:color w:val="000000"/>
                <w:sz w:val="22"/>
              </w:rPr>
              <w:t>Auteur</w:t>
            </w:r>
          </w:p>
        </w:tc>
        <w:tc>
          <w:tcPr>
            <w:tcW w:w="5138" w:type="dxa"/>
            <w:gridSpan w:val="2"/>
          </w:tcPr>
          <w:p w14:paraId="05B0D729" w14:textId="6D982573" w:rsidR="00F152C9" w:rsidRPr="008652C7" w:rsidRDefault="00293EEA" w:rsidP="000B35DA">
            <w:pPr>
              <w:spacing w:before="120" w:after="120" w:line="270" w:lineRule="atLeast"/>
              <w:jc w:val="both"/>
              <w:textAlignment w:val="baseline"/>
              <w:rPr>
                <w:rFonts w:ascii="Arial" w:hAnsi="Arial" w:cs="Arial"/>
                <w:color w:val="000000"/>
                <w:sz w:val="22"/>
                <w:lang w:val="en-US"/>
              </w:rPr>
            </w:pPr>
            <w:r>
              <w:rPr>
                <w:rFonts w:ascii="Arial" w:hAnsi="Arial" w:cs="Arial"/>
                <w:color w:val="000000"/>
                <w:sz w:val="22"/>
                <w:lang w:val="en-US"/>
              </w:rPr>
              <w:t>Thierry Largey</w:t>
            </w:r>
            <w:r w:rsidR="00E93BB5">
              <w:rPr>
                <w:rFonts w:ascii="Arial" w:hAnsi="Arial" w:cs="Arial"/>
                <w:color w:val="000000"/>
                <w:sz w:val="22"/>
                <w:lang w:val="en-US"/>
              </w:rPr>
              <w:t xml:space="preserve"> / </w:t>
            </w:r>
            <w:r w:rsidR="009340B4">
              <w:rPr>
                <w:rFonts w:ascii="Arial" w:hAnsi="Arial" w:cs="Arial"/>
                <w:color w:val="000000"/>
                <w:sz w:val="22"/>
                <w:lang w:val="en-US"/>
              </w:rPr>
              <w:t>Noémie Park</w:t>
            </w:r>
          </w:p>
        </w:tc>
      </w:tr>
      <w:tr w:rsidR="00897282" w:rsidRPr="008652C7" w14:paraId="06A5CB89" w14:textId="77777777" w:rsidTr="00EA3A24">
        <w:trPr>
          <w:trHeight w:val="514"/>
        </w:trPr>
        <w:tc>
          <w:tcPr>
            <w:tcW w:w="10609" w:type="dxa"/>
            <w:gridSpan w:val="3"/>
            <w:shd w:val="clear" w:color="auto" w:fill="F2F2F2" w:themeFill="background1" w:themeFillShade="F2"/>
          </w:tcPr>
          <w:p w14:paraId="25ECC09B" w14:textId="464E66B7" w:rsidR="009F7A9F" w:rsidRPr="008652C7" w:rsidRDefault="00760F44" w:rsidP="000B35DA">
            <w:pPr>
              <w:spacing w:before="120" w:after="120"/>
              <w:jc w:val="both"/>
              <w:rPr>
                <w:rFonts w:ascii="Arial" w:hAnsi="Arial" w:cs="Arial"/>
                <w:sz w:val="22"/>
              </w:rPr>
            </w:pPr>
            <w:r w:rsidRPr="008652C7">
              <w:rPr>
                <w:rFonts w:ascii="Arial" w:eastAsia="Times New Roman" w:hAnsi="Arial" w:cs="Arial"/>
                <w:iCs/>
                <w:color w:val="000000"/>
                <w:sz w:val="22"/>
              </w:rPr>
              <w:t>Titre </w:t>
            </w:r>
            <w:r w:rsidR="0053684D" w:rsidRPr="008652C7">
              <w:rPr>
                <w:rFonts w:ascii="Arial" w:eastAsia="Times New Roman" w:hAnsi="Arial" w:cs="Arial"/>
                <w:iCs/>
                <w:color w:val="000000"/>
                <w:sz w:val="22"/>
              </w:rPr>
              <w:t>(environ 100 signes espaces compris)</w:t>
            </w:r>
          </w:p>
        </w:tc>
      </w:tr>
      <w:tr w:rsidR="00897282" w:rsidRPr="008652C7" w14:paraId="78609B48" w14:textId="77777777" w:rsidTr="00EA3A24">
        <w:trPr>
          <w:trHeight w:val="514"/>
        </w:trPr>
        <w:tc>
          <w:tcPr>
            <w:tcW w:w="10609" w:type="dxa"/>
            <w:gridSpan w:val="3"/>
          </w:tcPr>
          <w:p w14:paraId="217DF65A" w14:textId="7470D4E9" w:rsidR="0073482B" w:rsidRPr="008540AB" w:rsidRDefault="008540AB" w:rsidP="008540AB">
            <w:pPr>
              <w:shd w:val="clear" w:color="auto" w:fill="FFFFFF"/>
              <w:jc w:val="both"/>
              <w:rPr>
                <w:rFonts w:ascii="Arial" w:hAnsi="Arial" w:cs="Arial"/>
                <w:color w:val="000000"/>
                <w:sz w:val="22"/>
                <w:lang w:val="fr-CH"/>
              </w:rPr>
            </w:pPr>
            <w:r>
              <w:rPr>
                <w:rFonts w:ascii="Arial" w:hAnsi="Arial" w:cs="Arial"/>
                <w:color w:val="000000"/>
                <w:sz w:val="22"/>
                <w:lang w:val="fr-CH"/>
              </w:rPr>
              <w:t xml:space="preserve">Le litige repose </w:t>
            </w:r>
            <w:r w:rsidR="00696F8F">
              <w:rPr>
                <w:rFonts w:ascii="Arial" w:hAnsi="Arial" w:cs="Arial"/>
                <w:color w:val="000000"/>
                <w:sz w:val="22"/>
                <w:lang w:val="fr-CH"/>
              </w:rPr>
              <w:t>sur l’exigence de coordination au sens de l’art. 25a LAT, dans l’hypothèse d’une coordination régionale ou impliquant des degrés de planification différents.</w:t>
            </w:r>
            <w:r>
              <w:rPr>
                <w:rFonts w:ascii="Arial" w:hAnsi="Arial" w:cs="Arial"/>
                <w:color w:val="000000"/>
                <w:sz w:val="22"/>
                <w:lang w:val="fr-CH"/>
              </w:rPr>
              <w:t xml:space="preserve"> </w:t>
            </w:r>
          </w:p>
        </w:tc>
      </w:tr>
      <w:tr w:rsidR="00897282" w:rsidRPr="008652C7" w14:paraId="73910C5C" w14:textId="77777777" w:rsidTr="00EA3A24">
        <w:trPr>
          <w:trHeight w:val="473"/>
        </w:trPr>
        <w:tc>
          <w:tcPr>
            <w:tcW w:w="10609" w:type="dxa"/>
            <w:gridSpan w:val="3"/>
            <w:shd w:val="clear" w:color="auto" w:fill="F2F2F2" w:themeFill="background1" w:themeFillShade="F2"/>
          </w:tcPr>
          <w:p w14:paraId="2D320907" w14:textId="214E2739" w:rsidR="009F7A9F" w:rsidRPr="008652C7" w:rsidRDefault="00760F44" w:rsidP="000B35DA">
            <w:pPr>
              <w:spacing w:before="120" w:after="120"/>
              <w:jc w:val="both"/>
              <w:rPr>
                <w:rFonts w:ascii="Arial" w:hAnsi="Arial" w:cs="Arial"/>
                <w:sz w:val="22"/>
              </w:rPr>
            </w:pPr>
            <w:r w:rsidRPr="008652C7">
              <w:rPr>
                <w:rFonts w:ascii="Arial" w:hAnsi="Arial" w:cs="Arial"/>
                <w:sz w:val="22"/>
              </w:rPr>
              <w:t>Teaser court</w:t>
            </w:r>
            <w:r w:rsidR="0053684D" w:rsidRPr="008652C7">
              <w:rPr>
                <w:rFonts w:ascii="Arial" w:hAnsi="Arial" w:cs="Arial"/>
                <w:sz w:val="22"/>
              </w:rPr>
              <w:t xml:space="preserve"> (environ 300 signes espaces compris)</w:t>
            </w:r>
          </w:p>
        </w:tc>
      </w:tr>
      <w:tr w:rsidR="00EA3A24" w:rsidRPr="008652C7" w14:paraId="0643F093" w14:textId="77777777" w:rsidTr="00EA3A24">
        <w:trPr>
          <w:gridAfter w:val="1"/>
          <w:wAfter w:w="54" w:type="dxa"/>
          <w:trHeight w:val="546"/>
        </w:trPr>
        <w:tc>
          <w:tcPr>
            <w:tcW w:w="10555" w:type="dxa"/>
            <w:gridSpan w:val="2"/>
          </w:tcPr>
          <w:p w14:paraId="05F7D4BC" w14:textId="567F66CD" w:rsidR="00CC1A8B" w:rsidRDefault="00596A3E" w:rsidP="00CC1A8B">
            <w:pPr>
              <w:shd w:val="clear" w:color="auto" w:fill="FFFFFF"/>
              <w:jc w:val="both"/>
              <w:rPr>
                <w:rFonts w:ascii="Arial" w:hAnsi="Arial" w:cs="Arial"/>
                <w:color w:val="000000"/>
                <w:sz w:val="22"/>
                <w:lang w:val="fr-CH"/>
              </w:rPr>
            </w:pPr>
            <w:r w:rsidRPr="00F23C11">
              <w:rPr>
                <w:rFonts w:ascii="Arial" w:hAnsi="Arial" w:cs="Arial"/>
                <w:color w:val="000000"/>
                <w:sz w:val="22"/>
                <w:lang w:val="fr-CH"/>
              </w:rPr>
              <w:t>L</w:t>
            </w:r>
            <w:r>
              <w:rPr>
                <w:rFonts w:ascii="Arial" w:hAnsi="Arial" w:cs="Arial"/>
                <w:color w:val="000000"/>
                <w:sz w:val="22"/>
                <w:lang w:val="fr-CH"/>
              </w:rPr>
              <w:t>e principe de coordination de l’</w:t>
            </w:r>
            <w:r w:rsidRPr="00F23C11">
              <w:rPr>
                <w:rFonts w:ascii="Arial" w:hAnsi="Arial" w:cs="Arial"/>
                <w:color w:val="000000"/>
                <w:sz w:val="22"/>
                <w:lang w:val="fr-CH"/>
              </w:rPr>
              <w:t xml:space="preserve">art. 25a LAT s’applique au niveau de la planification d’affectation. </w:t>
            </w:r>
            <w:r>
              <w:rPr>
                <w:rFonts w:ascii="Arial" w:hAnsi="Arial" w:cs="Arial"/>
                <w:color w:val="000000"/>
                <w:sz w:val="22"/>
                <w:lang w:val="fr-CH"/>
              </w:rPr>
              <w:t>Néanmoins, l</w:t>
            </w:r>
            <w:r w:rsidRPr="00596A3E">
              <w:rPr>
                <w:rFonts w:ascii="Arial" w:hAnsi="Arial" w:cs="Arial"/>
                <w:color w:val="000000"/>
                <w:sz w:val="22"/>
                <w:lang w:val="fr-CH"/>
              </w:rPr>
              <w:t xml:space="preserve">orsqu’il s’agit d’assurer une coordination régionale et de coordonner plusieurs projets impliquant des degrés de planification différents, en l’occurrence une procédure fédérale d’approbation des plans (PAP), la coordination globale s’opère </w:t>
            </w:r>
            <w:r>
              <w:rPr>
                <w:rFonts w:ascii="Arial" w:hAnsi="Arial" w:cs="Arial"/>
                <w:color w:val="000000"/>
                <w:sz w:val="22"/>
                <w:lang w:val="fr-CH"/>
              </w:rPr>
              <w:t>au niveau du plan directeur cantonal</w:t>
            </w:r>
            <w:r w:rsidR="008540AB">
              <w:rPr>
                <w:rFonts w:ascii="Arial" w:hAnsi="Arial" w:cs="Arial"/>
                <w:color w:val="000000"/>
                <w:sz w:val="22"/>
                <w:lang w:val="fr-CH"/>
              </w:rPr>
              <w:t>.</w:t>
            </w:r>
          </w:p>
          <w:p w14:paraId="3215B816" w14:textId="4569D852" w:rsidR="007B1C27" w:rsidRPr="00927FE1" w:rsidRDefault="007B1C27" w:rsidP="000B35DA">
            <w:pPr>
              <w:jc w:val="both"/>
              <w:rPr>
                <w:rFonts w:ascii="Arial" w:hAnsi="Arial" w:cs="Arial"/>
                <w:color w:val="000000"/>
                <w:sz w:val="22"/>
                <w:lang w:val="fr-CH"/>
              </w:rPr>
            </w:pPr>
          </w:p>
        </w:tc>
      </w:tr>
      <w:tr w:rsidR="00897282" w:rsidRPr="008652C7" w14:paraId="3FD8E377" w14:textId="77777777" w:rsidTr="00EA3A24">
        <w:trPr>
          <w:trHeight w:val="514"/>
        </w:trPr>
        <w:tc>
          <w:tcPr>
            <w:tcW w:w="10609" w:type="dxa"/>
            <w:gridSpan w:val="3"/>
            <w:shd w:val="clear" w:color="auto" w:fill="F2F2F2" w:themeFill="background1" w:themeFillShade="F2"/>
          </w:tcPr>
          <w:p w14:paraId="7770DCF0" w14:textId="0DA5250A" w:rsidR="009F7A9F" w:rsidRPr="008652C7" w:rsidRDefault="00760F44" w:rsidP="000B35DA">
            <w:pPr>
              <w:spacing w:before="120" w:after="120"/>
              <w:jc w:val="both"/>
              <w:rPr>
                <w:rFonts w:ascii="Arial" w:hAnsi="Arial" w:cs="Arial"/>
                <w:sz w:val="22"/>
              </w:rPr>
            </w:pPr>
            <w:r w:rsidRPr="008652C7">
              <w:rPr>
                <w:rFonts w:ascii="Arial" w:hAnsi="Arial" w:cs="Arial"/>
                <w:sz w:val="22"/>
              </w:rPr>
              <w:t>Teaser long</w:t>
            </w:r>
            <w:r w:rsidR="0053684D" w:rsidRPr="008652C7">
              <w:rPr>
                <w:rFonts w:ascii="Arial" w:hAnsi="Arial" w:cs="Arial"/>
                <w:sz w:val="22"/>
              </w:rPr>
              <w:t xml:space="preserve"> (environ 500 signes espaces compris)</w:t>
            </w:r>
          </w:p>
        </w:tc>
      </w:tr>
      <w:tr w:rsidR="00897282" w:rsidRPr="008652C7" w14:paraId="25C81CE8" w14:textId="77777777" w:rsidTr="00EA3A24">
        <w:trPr>
          <w:trHeight w:val="273"/>
        </w:trPr>
        <w:tc>
          <w:tcPr>
            <w:tcW w:w="10609" w:type="dxa"/>
            <w:gridSpan w:val="3"/>
          </w:tcPr>
          <w:p w14:paraId="23165751" w14:textId="141003EA" w:rsidR="008540AB" w:rsidRDefault="00596A3E" w:rsidP="008540AB">
            <w:pPr>
              <w:shd w:val="clear" w:color="auto" w:fill="FFFFFF"/>
              <w:jc w:val="both"/>
              <w:rPr>
                <w:rFonts w:ascii="Arial" w:hAnsi="Arial" w:cs="Arial"/>
                <w:color w:val="000000"/>
                <w:sz w:val="22"/>
                <w:lang w:val="fr-CH"/>
              </w:rPr>
            </w:pPr>
            <w:r w:rsidRPr="00F23C11">
              <w:rPr>
                <w:rFonts w:ascii="Arial" w:hAnsi="Arial" w:cs="Arial"/>
                <w:color w:val="000000"/>
                <w:sz w:val="22"/>
                <w:lang w:val="fr-CH"/>
              </w:rPr>
              <w:t>L</w:t>
            </w:r>
            <w:r>
              <w:rPr>
                <w:rFonts w:ascii="Arial" w:hAnsi="Arial" w:cs="Arial"/>
                <w:color w:val="000000"/>
                <w:sz w:val="22"/>
                <w:lang w:val="fr-CH"/>
              </w:rPr>
              <w:t>e principe de coordination de l’</w:t>
            </w:r>
            <w:r w:rsidRPr="00F23C11">
              <w:rPr>
                <w:rFonts w:ascii="Arial" w:hAnsi="Arial" w:cs="Arial"/>
                <w:color w:val="000000"/>
                <w:sz w:val="22"/>
                <w:lang w:val="fr-CH"/>
              </w:rPr>
              <w:t xml:space="preserve">art. 25a LAT s’applique au niveau de la planification d’affectation, en particulier lorsque l’adoption d’un plan entraîne les décisions de plusieurs autorités. </w:t>
            </w:r>
            <w:r>
              <w:rPr>
                <w:rFonts w:ascii="Arial" w:hAnsi="Arial" w:cs="Arial"/>
                <w:color w:val="000000"/>
                <w:sz w:val="22"/>
                <w:lang w:val="fr-CH"/>
              </w:rPr>
              <w:t>Néanmoins, l</w:t>
            </w:r>
            <w:r w:rsidRPr="00596A3E">
              <w:rPr>
                <w:rFonts w:ascii="Arial" w:hAnsi="Arial" w:cs="Arial"/>
                <w:color w:val="000000"/>
                <w:sz w:val="22"/>
                <w:lang w:val="fr-CH"/>
              </w:rPr>
              <w:t xml:space="preserve">orsqu’il s’agit d’assurer une coordination régionale et de coordonner plusieurs projets impliquant des degrés de planification différents, en l’occurrence une procédure fédérale d’approbation des plans (PAP) pour la gare ainsi qu’un PAD pour la planification de détail du secteur en question, la coordination globale s’opère </w:t>
            </w:r>
            <w:r>
              <w:rPr>
                <w:rFonts w:ascii="Arial" w:hAnsi="Arial" w:cs="Arial"/>
                <w:color w:val="000000"/>
                <w:sz w:val="22"/>
                <w:lang w:val="fr-CH"/>
              </w:rPr>
              <w:t>au niveau du plan directeur cantonal</w:t>
            </w:r>
            <w:r w:rsidR="008540AB">
              <w:rPr>
                <w:rFonts w:ascii="Arial" w:hAnsi="Arial" w:cs="Arial"/>
                <w:color w:val="000000"/>
                <w:sz w:val="22"/>
                <w:lang w:val="fr-CH"/>
              </w:rPr>
              <w:t>.</w:t>
            </w:r>
          </w:p>
          <w:p w14:paraId="20E25448" w14:textId="7B77AA86" w:rsidR="00CC1A8B" w:rsidRPr="000F5C98" w:rsidRDefault="00CC1A8B" w:rsidP="00D03C35">
            <w:pPr>
              <w:shd w:val="clear" w:color="auto" w:fill="FFFFFF"/>
              <w:jc w:val="both"/>
              <w:rPr>
                <w:rFonts w:ascii="Arial" w:hAnsi="Arial" w:cs="Arial"/>
                <w:color w:val="000000"/>
                <w:sz w:val="22"/>
                <w:lang w:val="fr-CH"/>
              </w:rPr>
            </w:pPr>
          </w:p>
        </w:tc>
      </w:tr>
      <w:tr w:rsidR="00897282" w:rsidRPr="008652C7" w14:paraId="570EFF45" w14:textId="77777777" w:rsidTr="00EA3A24">
        <w:tc>
          <w:tcPr>
            <w:tcW w:w="10609" w:type="dxa"/>
            <w:gridSpan w:val="3"/>
            <w:shd w:val="clear" w:color="auto" w:fill="F2F2F2" w:themeFill="background1" w:themeFillShade="F2"/>
          </w:tcPr>
          <w:p w14:paraId="0909C674" w14:textId="5DE09797" w:rsidR="009F7A9F" w:rsidRPr="008652C7" w:rsidRDefault="00760F44" w:rsidP="000B35DA">
            <w:pPr>
              <w:spacing w:before="120" w:after="120"/>
              <w:jc w:val="both"/>
              <w:rPr>
                <w:rFonts w:ascii="Arial" w:hAnsi="Arial" w:cs="Arial"/>
                <w:sz w:val="22"/>
              </w:rPr>
            </w:pPr>
            <w:r w:rsidRPr="008652C7">
              <w:rPr>
                <w:rFonts w:ascii="Arial" w:hAnsi="Arial" w:cs="Arial"/>
                <w:sz w:val="22"/>
              </w:rPr>
              <w:t>Contenu</w:t>
            </w:r>
            <w:r w:rsidR="0053684D" w:rsidRPr="008652C7">
              <w:rPr>
                <w:rFonts w:ascii="Arial" w:hAnsi="Arial" w:cs="Arial"/>
                <w:sz w:val="22"/>
              </w:rPr>
              <w:t xml:space="preserve"> (environ 3500 signes espaces compris)</w:t>
            </w:r>
          </w:p>
        </w:tc>
      </w:tr>
      <w:tr w:rsidR="00897282" w:rsidRPr="008652C7" w14:paraId="683B9200" w14:textId="77777777" w:rsidTr="00EA3A24">
        <w:tc>
          <w:tcPr>
            <w:tcW w:w="10609" w:type="dxa"/>
            <w:gridSpan w:val="3"/>
          </w:tcPr>
          <w:p w14:paraId="6077341E" w14:textId="6C9393E2" w:rsidR="000D015D" w:rsidRDefault="00596A3E" w:rsidP="00807BBF">
            <w:pPr>
              <w:shd w:val="clear" w:color="auto" w:fill="FFFFFF"/>
              <w:jc w:val="both"/>
              <w:rPr>
                <w:rFonts w:ascii="Arial" w:hAnsi="Arial" w:cs="Arial"/>
                <w:color w:val="000000"/>
                <w:sz w:val="22"/>
                <w:lang w:val="fr-CH"/>
              </w:rPr>
            </w:pPr>
            <w:r w:rsidRPr="00F23C11">
              <w:rPr>
                <w:rFonts w:ascii="Arial" w:hAnsi="Arial" w:cs="Arial"/>
                <w:color w:val="000000"/>
                <w:sz w:val="22"/>
                <w:lang w:val="fr-CH"/>
              </w:rPr>
              <w:t>L</w:t>
            </w:r>
            <w:r>
              <w:rPr>
                <w:rFonts w:ascii="Arial" w:hAnsi="Arial" w:cs="Arial"/>
                <w:color w:val="000000"/>
                <w:sz w:val="22"/>
                <w:lang w:val="fr-CH"/>
              </w:rPr>
              <w:t>e principe de coordination de l’</w:t>
            </w:r>
            <w:r w:rsidRPr="00F23C11">
              <w:rPr>
                <w:rFonts w:ascii="Arial" w:hAnsi="Arial" w:cs="Arial"/>
                <w:color w:val="000000"/>
                <w:sz w:val="22"/>
                <w:lang w:val="fr-CH"/>
              </w:rPr>
              <w:t xml:space="preserve">art. 25a LAT s’applique au niveau de la planification d’affectation, en particulier lorsque l’adoption d’un plan entraîne les décisions de plusieurs autorités. </w:t>
            </w:r>
            <w:r>
              <w:rPr>
                <w:rFonts w:ascii="Arial" w:hAnsi="Arial" w:cs="Arial"/>
                <w:color w:val="000000"/>
                <w:sz w:val="22"/>
                <w:lang w:val="fr-CH"/>
              </w:rPr>
              <w:t>Néanmoins, l</w:t>
            </w:r>
            <w:r w:rsidRPr="00596A3E">
              <w:rPr>
                <w:rFonts w:ascii="Arial" w:hAnsi="Arial" w:cs="Arial"/>
                <w:color w:val="000000"/>
                <w:sz w:val="22"/>
                <w:lang w:val="fr-CH"/>
              </w:rPr>
              <w:t xml:space="preserve">orsqu’il s’agit d’assurer une coordination régionale et de coordonner plusieurs projets impliquant des degrés de planification différents, en l’occurrence une procédure fédérale d’approbation des plans (PAP) pour la gare ainsi qu’un PAD pour la planification de détail du secteur en question, la coordination globale s’opère </w:t>
            </w:r>
            <w:r>
              <w:rPr>
                <w:rFonts w:ascii="Arial" w:hAnsi="Arial" w:cs="Arial"/>
                <w:color w:val="000000"/>
                <w:sz w:val="22"/>
                <w:lang w:val="fr-CH"/>
              </w:rPr>
              <w:t>au niveau du plan directeur cantonal</w:t>
            </w:r>
            <w:r w:rsidR="00B1331D" w:rsidRPr="008D25CB">
              <w:rPr>
                <w:rFonts w:ascii="Arial" w:hAnsi="Arial" w:cs="Arial"/>
                <w:color w:val="000000"/>
                <w:sz w:val="22"/>
                <w:lang w:val="fr-CH"/>
              </w:rPr>
              <w:t>.</w:t>
            </w:r>
          </w:p>
          <w:p w14:paraId="01174113" w14:textId="77777777" w:rsidR="007C6EAE" w:rsidRPr="007A0BCE" w:rsidRDefault="007C6EAE" w:rsidP="009C2D11">
            <w:pPr>
              <w:shd w:val="clear" w:color="auto" w:fill="FFFFFF"/>
              <w:jc w:val="both"/>
              <w:rPr>
                <w:rFonts w:ascii="Arial" w:hAnsi="Arial" w:cs="Arial"/>
                <w:color w:val="000000"/>
                <w:sz w:val="22"/>
                <w:lang w:val="fr-CH"/>
              </w:rPr>
            </w:pPr>
          </w:p>
          <w:p w14:paraId="13BC042C" w14:textId="231020A4" w:rsidR="000D015D" w:rsidRPr="000D015D" w:rsidRDefault="000D015D" w:rsidP="000D015D">
            <w:pPr>
              <w:pStyle w:val="Paragraphedeliste"/>
              <w:numPr>
                <w:ilvl w:val="0"/>
                <w:numId w:val="3"/>
              </w:numPr>
              <w:shd w:val="clear" w:color="auto" w:fill="FFFFFF"/>
              <w:rPr>
                <w:rFonts w:ascii="Arial" w:hAnsi="Arial" w:cs="Arial"/>
                <w:bCs/>
                <w:color w:val="000000"/>
                <w:sz w:val="22"/>
              </w:rPr>
            </w:pPr>
            <w:r w:rsidRPr="00E44EB0">
              <w:rPr>
                <w:rFonts w:ascii="Arial" w:hAnsi="Arial" w:cs="Arial"/>
                <w:bCs/>
                <w:color w:val="000000"/>
                <w:sz w:val="22"/>
              </w:rPr>
              <w:t>Faits</w:t>
            </w:r>
          </w:p>
          <w:p w14:paraId="6B95A67B" w14:textId="03DF4B39" w:rsidR="00762A8C" w:rsidRDefault="006A28A6" w:rsidP="006A28A6">
            <w:pPr>
              <w:jc w:val="both"/>
              <w:rPr>
                <w:rFonts w:ascii="Arial" w:hAnsi="Arial" w:cs="Arial"/>
                <w:color w:val="000000"/>
                <w:sz w:val="22"/>
                <w:lang w:val="fr-CH"/>
              </w:rPr>
            </w:pPr>
            <w:r w:rsidRPr="006A28A6">
              <w:rPr>
                <w:rFonts w:ascii="Arial" w:hAnsi="Arial" w:cs="Arial"/>
                <w:color w:val="000000"/>
                <w:sz w:val="22"/>
                <w:lang w:val="fr-CH"/>
              </w:rPr>
              <w:t>En 2018, la commune d’</w:t>
            </w:r>
            <w:proofErr w:type="spellStart"/>
            <w:r w:rsidRPr="006A28A6">
              <w:rPr>
                <w:rFonts w:ascii="Arial" w:hAnsi="Arial" w:cs="Arial"/>
                <w:color w:val="000000"/>
                <w:sz w:val="22"/>
                <w:lang w:val="fr-CH"/>
              </w:rPr>
              <w:t>Avry</w:t>
            </w:r>
            <w:proofErr w:type="spellEnd"/>
            <w:r w:rsidRPr="006A28A6">
              <w:rPr>
                <w:rFonts w:ascii="Arial" w:hAnsi="Arial" w:cs="Arial"/>
                <w:color w:val="000000"/>
                <w:sz w:val="22"/>
                <w:lang w:val="fr-CH"/>
              </w:rPr>
              <w:t xml:space="preserve"> (FR) met à l'enquête publique la révision partielle de son plan d’aménagement local (PAL). Celle-ci a pour objectif de modifier l'affectation du périmètre dans lequel est implanté le centre commercial d'</w:t>
            </w:r>
            <w:proofErr w:type="spellStart"/>
            <w:r w:rsidRPr="006A28A6">
              <w:rPr>
                <w:rFonts w:ascii="Arial" w:hAnsi="Arial" w:cs="Arial"/>
                <w:color w:val="000000"/>
                <w:sz w:val="22"/>
                <w:lang w:val="fr-CH"/>
              </w:rPr>
              <w:t>Avry</w:t>
            </w:r>
            <w:proofErr w:type="spellEnd"/>
            <w:r w:rsidRPr="006A28A6">
              <w:rPr>
                <w:rFonts w:ascii="Arial" w:hAnsi="Arial" w:cs="Arial"/>
                <w:color w:val="000000"/>
                <w:sz w:val="22"/>
                <w:lang w:val="fr-CH"/>
              </w:rPr>
              <w:t xml:space="preserve"> Centre, qui passerait de la zone d'activités à la zone de centre, avec obligation d'établir un plan d'aménagement de détail (PAD). Il est prévu de réaliser le projet « </w:t>
            </w:r>
            <w:proofErr w:type="spellStart"/>
            <w:r w:rsidRPr="006A28A6">
              <w:rPr>
                <w:rFonts w:ascii="Arial" w:hAnsi="Arial" w:cs="Arial"/>
                <w:color w:val="000000"/>
                <w:sz w:val="22"/>
                <w:lang w:val="fr-CH"/>
              </w:rPr>
              <w:t>Avry</w:t>
            </w:r>
            <w:proofErr w:type="spellEnd"/>
            <w:r w:rsidRPr="006A28A6">
              <w:rPr>
                <w:rFonts w:ascii="Arial" w:hAnsi="Arial" w:cs="Arial"/>
                <w:color w:val="000000"/>
                <w:sz w:val="22"/>
                <w:lang w:val="fr-CH"/>
              </w:rPr>
              <w:t>-Centre 2020 »</w:t>
            </w:r>
            <w:r w:rsidR="00F818D4">
              <w:rPr>
                <w:rFonts w:ascii="Arial" w:hAnsi="Arial" w:cs="Arial"/>
                <w:color w:val="000000"/>
                <w:sz w:val="22"/>
                <w:lang w:val="fr-CH"/>
              </w:rPr>
              <w:t xml:space="preserve"> conjointement avec la réalisation </w:t>
            </w:r>
            <w:r w:rsidRPr="006A28A6">
              <w:rPr>
                <w:rFonts w:ascii="Arial" w:hAnsi="Arial" w:cs="Arial"/>
                <w:color w:val="000000"/>
                <w:sz w:val="22"/>
                <w:lang w:val="fr-CH"/>
              </w:rPr>
              <w:t xml:space="preserve">de nombreuses habitations, la construction d'un nouveau centre commercial, d'un parc aquatique et le déplacement de la gare CFF. Après </w:t>
            </w:r>
            <w:r w:rsidR="00331D47">
              <w:rPr>
                <w:rFonts w:ascii="Arial" w:hAnsi="Arial" w:cs="Arial"/>
                <w:color w:val="000000"/>
                <w:sz w:val="22"/>
                <w:lang w:val="fr-CH"/>
              </w:rPr>
              <w:t>nouvel</w:t>
            </w:r>
            <w:r w:rsidRPr="006A28A6">
              <w:rPr>
                <w:rFonts w:ascii="Arial" w:hAnsi="Arial" w:cs="Arial"/>
                <w:color w:val="000000"/>
                <w:sz w:val="22"/>
                <w:lang w:val="fr-CH"/>
              </w:rPr>
              <w:t xml:space="preserve"> examen de la planification à la lumière du nouveau </w:t>
            </w:r>
            <w:proofErr w:type="spellStart"/>
            <w:r w:rsidRPr="006A28A6">
              <w:rPr>
                <w:rFonts w:ascii="Arial" w:hAnsi="Arial" w:cs="Arial"/>
                <w:color w:val="000000"/>
                <w:sz w:val="22"/>
                <w:lang w:val="fr-CH"/>
              </w:rPr>
              <w:t>PDCant</w:t>
            </w:r>
            <w:proofErr w:type="spellEnd"/>
            <w:r w:rsidRPr="006A28A6">
              <w:rPr>
                <w:rFonts w:ascii="Arial" w:hAnsi="Arial" w:cs="Arial"/>
                <w:color w:val="000000"/>
                <w:sz w:val="22"/>
                <w:lang w:val="fr-CH"/>
              </w:rPr>
              <w:t xml:space="preserve">, la Direction approuve la révision du PAL et précise que le PAD </w:t>
            </w:r>
            <w:proofErr w:type="spellStart"/>
            <w:r w:rsidRPr="006A28A6">
              <w:rPr>
                <w:rFonts w:ascii="Arial" w:hAnsi="Arial" w:cs="Arial"/>
                <w:color w:val="000000"/>
                <w:sz w:val="22"/>
                <w:lang w:val="fr-CH"/>
              </w:rPr>
              <w:t>Avry</w:t>
            </w:r>
            <w:proofErr w:type="spellEnd"/>
            <w:r w:rsidRPr="006A28A6">
              <w:rPr>
                <w:rFonts w:ascii="Arial" w:hAnsi="Arial" w:cs="Arial"/>
                <w:color w:val="000000"/>
                <w:sz w:val="22"/>
                <w:lang w:val="fr-CH"/>
              </w:rPr>
              <w:t>-centre doit faire l’objet d’une décision ultérieure coordonnée avec les procédures relatives aux nouveaux giratoires et à l’analyse de l’étude d’impact sur l’environnement. En parallèle, les CFF soumettent à l’OFT les plans portant sur le renouvellement d’une voie dans le secteur et la création d’une nouvelle halte</w:t>
            </w:r>
            <w:r w:rsidR="00762A8C">
              <w:rPr>
                <w:rFonts w:ascii="Arial" w:hAnsi="Arial" w:cs="Arial"/>
                <w:color w:val="000000"/>
                <w:sz w:val="22"/>
              </w:rPr>
              <w:t>.</w:t>
            </w:r>
          </w:p>
          <w:p w14:paraId="2BF98370" w14:textId="77777777" w:rsidR="00E44EB0" w:rsidRPr="00762A8C" w:rsidRDefault="00E44EB0" w:rsidP="000B35DA">
            <w:pPr>
              <w:pStyle w:val="Paragraphedeliste"/>
              <w:shd w:val="clear" w:color="auto" w:fill="FFFFFF"/>
              <w:ind w:left="1080"/>
              <w:rPr>
                <w:rFonts w:ascii="Arial" w:hAnsi="Arial" w:cs="Arial"/>
                <w:bCs/>
                <w:color w:val="FF0000"/>
                <w:sz w:val="22"/>
                <w:lang w:val="fr-CH"/>
              </w:rPr>
            </w:pPr>
          </w:p>
          <w:p w14:paraId="6AF685C2" w14:textId="1ED0A5EC" w:rsidR="005B0A75" w:rsidRPr="002236C3" w:rsidRDefault="004F25FD" w:rsidP="005B0A75">
            <w:pPr>
              <w:pStyle w:val="Paragraphedeliste"/>
              <w:numPr>
                <w:ilvl w:val="0"/>
                <w:numId w:val="3"/>
              </w:numPr>
              <w:shd w:val="clear" w:color="auto" w:fill="FFFFFF"/>
              <w:jc w:val="both"/>
              <w:rPr>
                <w:rFonts w:ascii="Arial" w:hAnsi="Arial" w:cs="Arial"/>
                <w:bCs/>
                <w:color w:val="000000"/>
                <w:sz w:val="22"/>
              </w:rPr>
            </w:pPr>
            <w:r w:rsidRPr="00E44EB0">
              <w:rPr>
                <w:rFonts w:ascii="Arial" w:hAnsi="Arial" w:cs="Arial"/>
                <w:bCs/>
                <w:color w:val="000000"/>
                <w:sz w:val="22"/>
              </w:rPr>
              <w:t>Droit</w:t>
            </w:r>
          </w:p>
          <w:p w14:paraId="6089A1C4" w14:textId="77777777" w:rsidR="00F23C11" w:rsidRDefault="00F23C11" w:rsidP="00F23C11">
            <w:pPr>
              <w:shd w:val="clear" w:color="auto" w:fill="FFFFFF"/>
              <w:jc w:val="both"/>
              <w:rPr>
                <w:rFonts w:ascii="Arial" w:hAnsi="Arial" w:cs="Arial"/>
                <w:color w:val="000000"/>
                <w:sz w:val="22"/>
                <w:lang w:val="fr-CH"/>
              </w:rPr>
            </w:pPr>
            <w:r w:rsidRPr="00F23C11">
              <w:rPr>
                <w:rFonts w:ascii="Arial" w:hAnsi="Arial" w:cs="Arial"/>
                <w:color w:val="000000"/>
                <w:sz w:val="22"/>
                <w:lang w:val="fr-CH"/>
              </w:rPr>
              <w:t>(</w:t>
            </w:r>
            <w:proofErr w:type="gramStart"/>
            <w:r w:rsidRPr="00F23C11">
              <w:rPr>
                <w:rFonts w:ascii="Arial" w:hAnsi="Arial" w:cs="Arial"/>
                <w:color w:val="000000"/>
                <w:sz w:val="22"/>
                <w:lang w:val="fr-CH"/>
              </w:rPr>
              <w:t>c.</w:t>
            </w:r>
            <w:proofErr w:type="gramEnd"/>
            <w:r w:rsidRPr="00F23C11">
              <w:rPr>
                <w:rFonts w:ascii="Arial" w:hAnsi="Arial" w:cs="Arial"/>
                <w:color w:val="000000"/>
                <w:sz w:val="22"/>
                <w:lang w:val="fr-CH"/>
              </w:rPr>
              <w:t xml:space="preserve"> 4) Le premier grief recevable a trait au principe de coordination. Les </w:t>
            </w:r>
            <w:proofErr w:type="spellStart"/>
            <w:r w:rsidRPr="00F23C11">
              <w:rPr>
                <w:rFonts w:ascii="Arial" w:hAnsi="Arial" w:cs="Arial"/>
                <w:color w:val="000000"/>
                <w:sz w:val="22"/>
                <w:lang w:val="fr-CH"/>
              </w:rPr>
              <w:t>recourants</w:t>
            </w:r>
            <w:proofErr w:type="spellEnd"/>
            <w:r w:rsidRPr="00F23C11">
              <w:rPr>
                <w:rFonts w:ascii="Arial" w:hAnsi="Arial" w:cs="Arial"/>
                <w:color w:val="000000"/>
                <w:sz w:val="22"/>
                <w:lang w:val="fr-CH"/>
              </w:rPr>
              <w:t xml:space="preserve"> estiment que les griefs formulés contre la planification de détail (PAD), en particulier au sujet de l’équipement routier du secteur d’</w:t>
            </w:r>
            <w:proofErr w:type="spellStart"/>
            <w:r w:rsidRPr="00F23C11">
              <w:rPr>
                <w:rFonts w:ascii="Arial" w:hAnsi="Arial" w:cs="Arial"/>
                <w:color w:val="000000"/>
                <w:sz w:val="22"/>
                <w:lang w:val="fr-CH"/>
              </w:rPr>
              <w:t>Avry</w:t>
            </w:r>
            <w:proofErr w:type="spellEnd"/>
            <w:r w:rsidRPr="00F23C11">
              <w:rPr>
                <w:rFonts w:ascii="Arial" w:hAnsi="Arial" w:cs="Arial"/>
                <w:color w:val="000000"/>
                <w:sz w:val="22"/>
                <w:lang w:val="fr-CH"/>
              </w:rPr>
              <w:t>-Centre, de même que ceux contestant la création d’une halte CFF, auraient dû être examinés au stade du PAL.</w:t>
            </w:r>
          </w:p>
          <w:p w14:paraId="38FDBCD1" w14:textId="3EA1CEDC" w:rsidR="00F23C11" w:rsidRPr="00F23C11" w:rsidRDefault="00F23C11" w:rsidP="00F23C11">
            <w:pPr>
              <w:shd w:val="clear" w:color="auto" w:fill="FFFFFF"/>
              <w:jc w:val="both"/>
              <w:rPr>
                <w:rFonts w:ascii="Arial" w:hAnsi="Arial" w:cs="Arial"/>
                <w:color w:val="000000"/>
                <w:sz w:val="22"/>
                <w:lang w:val="fr-CH"/>
              </w:rPr>
            </w:pPr>
            <w:r w:rsidRPr="00F23C11">
              <w:rPr>
                <w:rFonts w:ascii="Arial" w:hAnsi="Arial" w:cs="Arial"/>
                <w:color w:val="000000"/>
                <w:sz w:val="22"/>
                <w:lang w:val="fr-CH"/>
              </w:rPr>
              <w:t xml:space="preserve"> </w:t>
            </w:r>
          </w:p>
          <w:p w14:paraId="79418327" w14:textId="0DF391A5" w:rsidR="00F23C11" w:rsidRDefault="00F23C11" w:rsidP="00F23C11">
            <w:pPr>
              <w:shd w:val="clear" w:color="auto" w:fill="FFFFFF"/>
              <w:jc w:val="both"/>
              <w:rPr>
                <w:rFonts w:ascii="Arial" w:hAnsi="Arial" w:cs="Arial"/>
                <w:color w:val="000000"/>
                <w:sz w:val="22"/>
                <w:lang w:val="fr-CH"/>
              </w:rPr>
            </w:pPr>
            <w:r w:rsidRPr="00F23C11">
              <w:rPr>
                <w:rFonts w:ascii="Arial" w:hAnsi="Arial" w:cs="Arial"/>
                <w:color w:val="000000"/>
                <w:sz w:val="22"/>
                <w:lang w:val="fr-CH"/>
              </w:rPr>
              <w:t>(</w:t>
            </w:r>
            <w:proofErr w:type="gramStart"/>
            <w:r w:rsidRPr="00F23C11">
              <w:rPr>
                <w:rFonts w:ascii="Arial" w:hAnsi="Arial" w:cs="Arial"/>
                <w:color w:val="000000"/>
                <w:sz w:val="22"/>
                <w:lang w:val="fr-CH"/>
              </w:rPr>
              <w:t>c.</w:t>
            </w:r>
            <w:proofErr w:type="gramEnd"/>
            <w:r w:rsidRPr="00F23C11">
              <w:rPr>
                <w:rFonts w:ascii="Arial" w:hAnsi="Arial" w:cs="Arial"/>
                <w:color w:val="000000"/>
                <w:sz w:val="22"/>
                <w:lang w:val="fr-CH"/>
              </w:rPr>
              <w:t xml:space="preserve"> 4.2.1) L’art. 25a LAT s’applique au niveau de la planification d’affectation, en particulier lorsque l’adoption d’un plan entraîne les décisions de plusieurs autorités. Toutefois, lorsqu’il s’agit d’assurer une coordination régionale et de coordonner plusieurs projets impliquant des degrés de planification différents, en l’occurrence une procédure fédérale d’approbation des plans (PAP) pour la gare ainsi qu’un PAD pour la planification de détail du secteur en question, la coordination globale s’opère à l’échelon supérieur</w:t>
            </w:r>
            <w:r w:rsidR="0030200F">
              <w:rPr>
                <w:rFonts w:ascii="Arial" w:hAnsi="Arial" w:cs="Arial"/>
                <w:color w:val="000000"/>
                <w:sz w:val="22"/>
                <w:lang w:val="fr-CH"/>
              </w:rPr>
              <w:t xml:space="preserve"> – celui</w:t>
            </w:r>
            <w:r w:rsidRPr="00F23C11">
              <w:rPr>
                <w:rFonts w:ascii="Arial" w:hAnsi="Arial" w:cs="Arial"/>
                <w:color w:val="000000"/>
                <w:sz w:val="22"/>
                <w:lang w:val="fr-CH"/>
              </w:rPr>
              <w:t xml:space="preserve"> de la planification directrice. Le Tribunal cantonal avait retenu que le </w:t>
            </w:r>
            <w:proofErr w:type="spellStart"/>
            <w:r w:rsidRPr="00F23C11">
              <w:rPr>
                <w:rFonts w:ascii="Arial" w:hAnsi="Arial" w:cs="Arial"/>
                <w:color w:val="000000"/>
                <w:sz w:val="22"/>
                <w:lang w:val="fr-CH"/>
              </w:rPr>
              <w:t>PDCant</w:t>
            </w:r>
            <w:proofErr w:type="spellEnd"/>
            <w:r w:rsidRPr="00F23C11">
              <w:rPr>
                <w:rFonts w:ascii="Arial" w:hAnsi="Arial" w:cs="Arial"/>
                <w:color w:val="000000"/>
                <w:sz w:val="22"/>
                <w:lang w:val="fr-CH"/>
              </w:rPr>
              <w:t xml:space="preserve"> et PA4, à la lumière desquels le PAL avait été examiné, garantissaient cette coordination entre les différents projets d'aménagement du territoire de la commune. Le principe de la coordination ne commandait pas d'examiner dans le cadre de la révision du PAL les griefs dirigés contre la planification de détail.</w:t>
            </w:r>
          </w:p>
          <w:p w14:paraId="7C91BC81" w14:textId="77777777" w:rsidR="007526D2" w:rsidRPr="00F23C11" w:rsidRDefault="007526D2" w:rsidP="00F23C11">
            <w:pPr>
              <w:shd w:val="clear" w:color="auto" w:fill="FFFFFF"/>
              <w:jc w:val="both"/>
              <w:rPr>
                <w:rFonts w:ascii="Arial" w:hAnsi="Arial" w:cs="Arial"/>
                <w:color w:val="000000"/>
                <w:sz w:val="22"/>
                <w:lang w:val="fr-CH"/>
              </w:rPr>
            </w:pPr>
          </w:p>
          <w:p w14:paraId="615163AE" w14:textId="0A574544" w:rsidR="00F23C11" w:rsidRDefault="00F23C11" w:rsidP="00F23C11">
            <w:pPr>
              <w:shd w:val="clear" w:color="auto" w:fill="FFFFFF"/>
              <w:jc w:val="both"/>
              <w:rPr>
                <w:rFonts w:ascii="Arial" w:hAnsi="Arial" w:cs="Arial"/>
                <w:color w:val="000000"/>
                <w:sz w:val="22"/>
                <w:lang w:val="fr-CH"/>
              </w:rPr>
            </w:pPr>
            <w:r w:rsidRPr="00F23C11">
              <w:rPr>
                <w:rFonts w:ascii="Arial" w:hAnsi="Arial" w:cs="Arial"/>
                <w:color w:val="000000"/>
                <w:sz w:val="22"/>
                <w:lang w:val="fr-CH"/>
              </w:rPr>
              <w:t>(</w:t>
            </w:r>
            <w:proofErr w:type="gramStart"/>
            <w:r w:rsidRPr="00F23C11">
              <w:rPr>
                <w:rFonts w:ascii="Arial" w:hAnsi="Arial" w:cs="Arial"/>
                <w:color w:val="000000"/>
                <w:sz w:val="22"/>
                <w:lang w:val="fr-CH"/>
              </w:rPr>
              <w:t>c.</w:t>
            </w:r>
            <w:proofErr w:type="gramEnd"/>
            <w:r w:rsidRPr="00F23C11">
              <w:rPr>
                <w:rFonts w:ascii="Arial" w:hAnsi="Arial" w:cs="Arial"/>
                <w:color w:val="000000"/>
                <w:sz w:val="22"/>
                <w:lang w:val="fr-CH"/>
              </w:rPr>
              <w:t xml:space="preserve"> 4.2.2) Le TF confirme </w:t>
            </w:r>
            <w:r w:rsidR="005A7153">
              <w:rPr>
                <w:rFonts w:ascii="Arial" w:hAnsi="Arial" w:cs="Arial"/>
                <w:color w:val="000000"/>
                <w:sz w:val="22"/>
                <w:lang w:val="fr-CH"/>
              </w:rPr>
              <w:t>qu’en l’espèce le</w:t>
            </w:r>
            <w:r w:rsidRPr="00F23C11">
              <w:rPr>
                <w:rFonts w:ascii="Arial" w:hAnsi="Arial" w:cs="Arial"/>
                <w:color w:val="000000"/>
                <w:sz w:val="22"/>
                <w:lang w:val="fr-CH"/>
              </w:rPr>
              <w:t xml:space="preserve"> PAL</w:t>
            </w:r>
            <w:r w:rsidR="005A7153">
              <w:rPr>
                <w:rFonts w:ascii="Arial" w:hAnsi="Arial" w:cs="Arial"/>
                <w:color w:val="000000"/>
                <w:sz w:val="22"/>
                <w:lang w:val="fr-CH"/>
              </w:rPr>
              <w:t xml:space="preserve"> </w:t>
            </w:r>
            <w:r w:rsidRPr="00F23C11">
              <w:rPr>
                <w:rFonts w:ascii="Arial" w:hAnsi="Arial" w:cs="Arial"/>
                <w:color w:val="000000"/>
                <w:sz w:val="22"/>
                <w:lang w:val="fr-CH"/>
              </w:rPr>
              <w:t>revêt une portée générale, dont les détails doivent être précisés dans une planification de détail ultérieure</w:t>
            </w:r>
            <w:r w:rsidR="00315615">
              <w:rPr>
                <w:rFonts w:ascii="Arial" w:hAnsi="Arial" w:cs="Arial"/>
                <w:color w:val="000000"/>
                <w:sz w:val="22"/>
                <w:lang w:val="fr-CH"/>
              </w:rPr>
              <w:t> </w:t>
            </w:r>
            <w:r w:rsidRPr="00F23C11">
              <w:rPr>
                <w:rFonts w:ascii="Arial" w:hAnsi="Arial" w:cs="Arial"/>
                <w:color w:val="000000"/>
                <w:sz w:val="22"/>
                <w:lang w:val="fr-CH"/>
              </w:rPr>
              <w:t>; cela apparaît conforme au droit cantonal et à l'organisation pyramidale de la planification dont découle l'obligation d'opter pour l'instrument de planification approprié. S'agissant de l'équipement routier du secteur d'</w:t>
            </w:r>
            <w:proofErr w:type="spellStart"/>
            <w:r w:rsidRPr="00F23C11">
              <w:rPr>
                <w:rFonts w:ascii="Arial" w:hAnsi="Arial" w:cs="Arial"/>
                <w:color w:val="000000"/>
                <w:sz w:val="22"/>
                <w:lang w:val="fr-CH"/>
              </w:rPr>
              <w:t>Avry</w:t>
            </w:r>
            <w:proofErr w:type="spellEnd"/>
            <w:r w:rsidRPr="00F23C11">
              <w:rPr>
                <w:rFonts w:ascii="Arial" w:hAnsi="Arial" w:cs="Arial"/>
                <w:color w:val="000000"/>
                <w:sz w:val="22"/>
                <w:lang w:val="fr-CH"/>
              </w:rPr>
              <w:t xml:space="preserve">-Centre mis en cause par les </w:t>
            </w:r>
            <w:proofErr w:type="spellStart"/>
            <w:r w:rsidRPr="00F23C11">
              <w:rPr>
                <w:rFonts w:ascii="Arial" w:hAnsi="Arial" w:cs="Arial"/>
                <w:color w:val="000000"/>
                <w:sz w:val="22"/>
                <w:lang w:val="fr-CH"/>
              </w:rPr>
              <w:t>recourants</w:t>
            </w:r>
            <w:proofErr w:type="spellEnd"/>
            <w:r w:rsidRPr="00F23C11">
              <w:rPr>
                <w:rFonts w:ascii="Arial" w:hAnsi="Arial" w:cs="Arial"/>
                <w:color w:val="000000"/>
                <w:sz w:val="22"/>
                <w:lang w:val="fr-CH"/>
              </w:rPr>
              <w:t>, il faut constater que le PAL pose les bases de l'affectation, mais ne permet pas encore de dire dans le détail quelles autres activités s'implanteront et la mesure dans laquelle elles influenceront la fréquentation des routes, précisions qu'il appartiendra au PAD d'apporter. Ainsi, au stade du PAL, il suffit de constater que le secteur d'</w:t>
            </w:r>
            <w:proofErr w:type="spellStart"/>
            <w:r w:rsidRPr="00F23C11">
              <w:rPr>
                <w:rFonts w:ascii="Arial" w:hAnsi="Arial" w:cs="Arial"/>
                <w:color w:val="000000"/>
                <w:sz w:val="22"/>
                <w:lang w:val="fr-CH"/>
              </w:rPr>
              <w:t>Avry</w:t>
            </w:r>
            <w:proofErr w:type="spellEnd"/>
            <w:r w:rsidRPr="00F23C11">
              <w:rPr>
                <w:rFonts w:ascii="Arial" w:hAnsi="Arial" w:cs="Arial"/>
                <w:color w:val="000000"/>
                <w:sz w:val="22"/>
                <w:lang w:val="fr-CH"/>
              </w:rPr>
              <w:t>-Centre est déjà en zone à bâtir, se situe à côté d'une route cantonale, qu'une voie de chemin de fer y existe de longue date et qu'une halte CFF y est projetée.</w:t>
            </w:r>
          </w:p>
          <w:p w14:paraId="62E032C8" w14:textId="77777777" w:rsidR="00315615" w:rsidRPr="00F23C11" w:rsidRDefault="00315615" w:rsidP="00F23C11">
            <w:pPr>
              <w:shd w:val="clear" w:color="auto" w:fill="FFFFFF"/>
              <w:jc w:val="both"/>
              <w:rPr>
                <w:rFonts w:ascii="Arial" w:hAnsi="Arial" w:cs="Arial"/>
                <w:color w:val="000000"/>
                <w:sz w:val="22"/>
                <w:lang w:val="fr-CH"/>
              </w:rPr>
            </w:pPr>
          </w:p>
          <w:p w14:paraId="1DF97A65" w14:textId="0A805751" w:rsidR="00F23C11" w:rsidRDefault="00F23C11" w:rsidP="00F23C11">
            <w:pPr>
              <w:shd w:val="clear" w:color="auto" w:fill="FFFFFF"/>
              <w:jc w:val="both"/>
              <w:rPr>
                <w:rFonts w:ascii="Arial" w:hAnsi="Arial" w:cs="Arial"/>
                <w:color w:val="000000"/>
                <w:sz w:val="22"/>
                <w:lang w:val="fr-CH"/>
              </w:rPr>
            </w:pPr>
            <w:r w:rsidRPr="00F23C11">
              <w:rPr>
                <w:rFonts w:ascii="Arial" w:hAnsi="Arial" w:cs="Arial"/>
                <w:color w:val="000000"/>
                <w:sz w:val="22"/>
                <w:lang w:val="fr-CH"/>
              </w:rPr>
              <w:t>(</w:t>
            </w:r>
            <w:proofErr w:type="gramStart"/>
            <w:r w:rsidRPr="00F23C11">
              <w:rPr>
                <w:rFonts w:ascii="Arial" w:hAnsi="Arial" w:cs="Arial"/>
                <w:color w:val="000000"/>
                <w:sz w:val="22"/>
                <w:lang w:val="fr-CH"/>
              </w:rPr>
              <w:t>c.</w:t>
            </w:r>
            <w:proofErr w:type="gramEnd"/>
            <w:r w:rsidRPr="00F23C11">
              <w:rPr>
                <w:rFonts w:ascii="Arial" w:hAnsi="Arial" w:cs="Arial"/>
                <w:color w:val="000000"/>
                <w:sz w:val="22"/>
                <w:lang w:val="fr-CH"/>
              </w:rPr>
              <w:t xml:space="preserve"> 4.2.3-4.3) La création de </w:t>
            </w:r>
            <w:r w:rsidR="00F06615">
              <w:rPr>
                <w:rFonts w:ascii="Arial" w:hAnsi="Arial" w:cs="Arial"/>
                <w:color w:val="000000"/>
                <w:sz w:val="22"/>
                <w:lang w:val="fr-CH"/>
              </w:rPr>
              <w:t>la</w:t>
            </w:r>
            <w:r w:rsidRPr="00F23C11">
              <w:rPr>
                <w:rFonts w:ascii="Arial" w:hAnsi="Arial" w:cs="Arial"/>
                <w:color w:val="000000"/>
                <w:sz w:val="22"/>
                <w:lang w:val="fr-CH"/>
              </w:rPr>
              <w:t xml:space="preserve"> halte CFF, en remplacement de deux haltes existantes, ne devait pas non plus être intégré</w:t>
            </w:r>
            <w:r w:rsidR="00363E1F">
              <w:rPr>
                <w:rFonts w:ascii="Arial" w:hAnsi="Arial" w:cs="Arial"/>
                <w:color w:val="000000"/>
                <w:sz w:val="22"/>
                <w:lang w:val="fr-CH"/>
              </w:rPr>
              <w:t>e</w:t>
            </w:r>
            <w:r w:rsidRPr="00F23C11">
              <w:rPr>
                <w:rFonts w:ascii="Arial" w:hAnsi="Arial" w:cs="Arial"/>
                <w:color w:val="000000"/>
                <w:sz w:val="22"/>
                <w:lang w:val="fr-CH"/>
              </w:rPr>
              <w:t xml:space="preserve">, au nom de la coordination, dans la planification d'affectation générale communale. Outre que l'approbation des plans ferroviaires relève d'une procédure fédérale particulière, les </w:t>
            </w:r>
            <w:proofErr w:type="spellStart"/>
            <w:r w:rsidRPr="00F23C11">
              <w:rPr>
                <w:rFonts w:ascii="Arial" w:hAnsi="Arial" w:cs="Arial"/>
                <w:color w:val="000000"/>
                <w:sz w:val="22"/>
                <w:lang w:val="fr-CH"/>
              </w:rPr>
              <w:t>recourants</w:t>
            </w:r>
            <w:proofErr w:type="spellEnd"/>
            <w:r w:rsidRPr="00F23C11">
              <w:rPr>
                <w:rFonts w:ascii="Arial" w:hAnsi="Arial" w:cs="Arial"/>
                <w:color w:val="000000"/>
                <w:sz w:val="22"/>
                <w:lang w:val="fr-CH"/>
              </w:rPr>
              <w:t xml:space="preserve"> ne prétendent pas que la procédure parallèle menée par l'autorité fédérale compétente présenterait un risque de décisions contradictoires (25a al. 3 LAT).</w:t>
            </w:r>
            <w:r w:rsidR="00FD4786">
              <w:rPr>
                <w:rFonts w:ascii="Arial" w:hAnsi="Arial" w:cs="Arial"/>
                <w:color w:val="000000"/>
                <w:sz w:val="22"/>
                <w:lang w:val="fr-CH"/>
              </w:rPr>
              <w:t xml:space="preserve"> </w:t>
            </w:r>
            <w:r w:rsidRPr="00F23C11">
              <w:rPr>
                <w:rFonts w:ascii="Arial" w:hAnsi="Arial" w:cs="Arial"/>
                <w:color w:val="000000"/>
                <w:sz w:val="22"/>
                <w:lang w:val="fr-CH"/>
              </w:rPr>
              <w:t>Le grief est rejeté.</w:t>
            </w:r>
          </w:p>
          <w:p w14:paraId="7E7D525B" w14:textId="77777777" w:rsidR="00FD4786" w:rsidRPr="00F23C11" w:rsidRDefault="00FD4786" w:rsidP="00F23C11">
            <w:pPr>
              <w:shd w:val="clear" w:color="auto" w:fill="FFFFFF"/>
              <w:jc w:val="both"/>
              <w:rPr>
                <w:rFonts w:ascii="Arial" w:hAnsi="Arial" w:cs="Arial"/>
                <w:color w:val="000000"/>
                <w:sz w:val="22"/>
                <w:lang w:val="fr-CH"/>
              </w:rPr>
            </w:pPr>
          </w:p>
          <w:p w14:paraId="2F604356" w14:textId="21231ECB" w:rsidR="00F23C11" w:rsidRDefault="00F23C11" w:rsidP="00F23C11">
            <w:pPr>
              <w:shd w:val="clear" w:color="auto" w:fill="FFFFFF"/>
              <w:jc w:val="both"/>
              <w:rPr>
                <w:rFonts w:ascii="Arial" w:hAnsi="Arial" w:cs="Arial"/>
                <w:color w:val="000000"/>
                <w:sz w:val="22"/>
                <w:lang w:val="fr-CH"/>
              </w:rPr>
            </w:pPr>
            <w:r w:rsidRPr="00F23C11">
              <w:rPr>
                <w:rFonts w:ascii="Arial" w:hAnsi="Arial" w:cs="Arial"/>
                <w:color w:val="000000"/>
                <w:sz w:val="22"/>
                <w:lang w:val="fr-CH"/>
              </w:rPr>
              <w:t>(</w:t>
            </w:r>
            <w:proofErr w:type="gramStart"/>
            <w:r w:rsidRPr="00F23C11">
              <w:rPr>
                <w:rFonts w:ascii="Arial" w:hAnsi="Arial" w:cs="Arial"/>
                <w:color w:val="000000"/>
                <w:sz w:val="22"/>
                <w:lang w:val="fr-CH"/>
              </w:rPr>
              <w:t>c.</w:t>
            </w:r>
            <w:proofErr w:type="gramEnd"/>
            <w:r w:rsidRPr="00F23C11">
              <w:rPr>
                <w:rFonts w:ascii="Arial" w:hAnsi="Arial" w:cs="Arial"/>
                <w:color w:val="000000"/>
                <w:sz w:val="22"/>
                <w:lang w:val="fr-CH"/>
              </w:rPr>
              <w:t xml:space="preserve"> 5) Les </w:t>
            </w:r>
            <w:proofErr w:type="spellStart"/>
            <w:r w:rsidRPr="00F23C11">
              <w:rPr>
                <w:rFonts w:ascii="Arial" w:hAnsi="Arial" w:cs="Arial"/>
                <w:color w:val="000000"/>
                <w:sz w:val="22"/>
                <w:lang w:val="fr-CH"/>
              </w:rPr>
              <w:t>recourants</w:t>
            </w:r>
            <w:proofErr w:type="spellEnd"/>
            <w:r w:rsidRPr="00F23C11">
              <w:rPr>
                <w:rFonts w:ascii="Arial" w:hAnsi="Arial" w:cs="Arial"/>
                <w:color w:val="000000"/>
                <w:sz w:val="22"/>
                <w:lang w:val="fr-CH"/>
              </w:rPr>
              <w:t xml:space="preserve"> contestent le maintien de leurs parcelles en zone agricole et en zone d’intérêt général respectivement. Le TF relève que les réserves en zone à bâtir légalisées excluent toute nouvelle mise en zone à bâtir.</w:t>
            </w:r>
            <w:r w:rsidR="00EA6081">
              <w:rPr>
                <w:rFonts w:ascii="Arial" w:hAnsi="Arial" w:cs="Arial"/>
                <w:color w:val="000000"/>
                <w:sz w:val="22"/>
                <w:lang w:val="fr-CH"/>
              </w:rPr>
              <w:t xml:space="preserve"> </w:t>
            </w:r>
            <w:r w:rsidRPr="00F23C11">
              <w:rPr>
                <w:rFonts w:ascii="Arial" w:hAnsi="Arial" w:cs="Arial"/>
                <w:color w:val="000000"/>
                <w:sz w:val="22"/>
                <w:lang w:val="fr-CH"/>
              </w:rPr>
              <w:t xml:space="preserve">Les </w:t>
            </w:r>
            <w:proofErr w:type="spellStart"/>
            <w:r w:rsidRPr="00F23C11">
              <w:rPr>
                <w:rFonts w:ascii="Arial" w:hAnsi="Arial" w:cs="Arial"/>
                <w:color w:val="000000"/>
                <w:sz w:val="22"/>
                <w:lang w:val="fr-CH"/>
              </w:rPr>
              <w:t>recourants</w:t>
            </w:r>
            <w:proofErr w:type="spellEnd"/>
            <w:r w:rsidRPr="00F23C11">
              <w:rPr>
                <w:rFonts w:ascii="Arial" w:hAnsi="Arial" w:cs="Arial"/>
                <w:color w:val="000000"/>
                <w:sz w:val="22"/>
                <w:lang w:val="fr-CH"/>
              </w:rPr>
              <w:t xml:space="preserve"> contestent en outre le maintien d’une des parcelles en zone d’intérêt général et invoquent une restriction au droit de la propriété. Ils affirment que les projets prévus sur ce bien-fonds, en particulier la création d’un parking souterrain, pourraient être réalisés sur d’autres parcelles. La restriction discutée repose sur une base légale (l’art. 55 </w:t>
            </w:r>
            <w:proofErr w:type="spellStart"/>
            <w:r w:rsidRPr="00F23C11">
              <w:rPr>
                <w:rFonts w:ascii="Arial" w:hAnsi="Arial" w:cs="Arial"/>
                <w:color w:val="000000"/>
                <w:sz w:val="22"/>
                <w:lang w:val="fr-CH"/>
              </w:rPr>
              <w:t>LATeC</w:t>
            </w:r>
            <w:proofErr w:type="spellEnd"/>
            <w:r w:rsidRPr="00F23C11">
              <w:rPr>
                <w:rFonts w:ascii="Arial" w:hAnsi="Arial" w:cs="Arial"/>
                <w:color w:val="000000"/>
                <w:sz w:val="22"/>
                <w:lang w:val="fr-CH"/>
              </w:rPr>
              <w:t xml:space="preserve">-FR), qui prévoit l’affectation en zone d’intérêt général </w:t>
            </w:r>
            <w:r w:rsidRPr="00F23C11">
              <w:rPr>
                <w:rFonts w:ascii="Arial" w:hAnsi="Arial" w:cs="Arial"/>
                <w:color w:val="000000"/>
                <w:sz w:val="22"/>
                <w:lang w:val="fr-CH"/>
              </w:rPr>
              <w:lastRenderedPageBreak/>
              <w:t xml:space="preserve">pour servir le bien commun de la collectivité, pour l’implantation de bâtiments et d’équipements d’utilité publique et destinés à la réalisation de tâches publiques. Il ressort de l’arrêt attaqué que l’utilisation de cette parcelle comme parking souterrain et comme dépose-minute sécurisé est justifiée en vue de sa localisation.  De plus, les </w:t>
            </w:r>
            <w:proofErr w:type="spellStart"/>
            <w:r w:rsidRPr="00F23C11">
              <w:rPr>
                <w:rFonts w:ascii="Arial" w:hAnsi="Arial" w:cs="Arial"/>
                <w:color w:val="000000"/>
                <w:sz w:val="22"/>
                <w:lang w:val="fr-CH"/>
              </w:rPr>
              <w:t>recourants</w:t>
            </w:r>
            <w:proofErr w:type="spellEnd"/>
            <w:r w:rsidRPr="00F23C11">
              <w:rPr>
                <w:rFonts w:ascii="Arial" w:hAnsi="Arial" w:cs="Arial"/>
                <w:color w:val="000000"/>
                <w:sz w:val="22"/>
                <w:lang w:val="fr-CH"/>
              </w:rPr>
              <w:t xml:space="preserve"> ne démontrent pas que la mise en zone d’intérêt général de la parcelle impacterait leur exploitation agricole</w:t>
            </w:r>
            <w:r w:rsidR="001F12CA">
              <w:rPr>
                <w:rFonts w:ascii="Arial" w:hAnsi="Arial" w:cs="Arial"/>
                <w:color w:val="000000"/>
                <w:sz w:val="22"/>
                <w:lang w:val="fr-CH"/>
              </w:rPr>
              <w:t xml:space="preserve">. </w:t>
            </w:r>
            <w:r w:rsidRPr="00F23C11">
              <w:rPr>
                <w:rFonts w:ascii="Arial" w:hAnsi="Arial" w:cs="Arial"/>
                <w:color w:val="000000"/>
                <w:sz w:val="22"/>
                <w:lang w:val="fr-CH"/>
              </w:rPr>
              <w:t xml:space="preserve">Les </w:t>
            </w:r>
            <w:proofErr w:type="spellStart"/>
            <w:r w:rsidRPr="00F23C11">
              <w:rPr>
                <w:rFonts w:ascii="Arial" w:hAnsi="Arial" w:cs="Arial"/>
                <w:color w:val="000000"/>
                <w:sz w:val="22"/>
                <w:lang w:val="fr-CH"/>
              </w:rPr>
              <w:t>recourants</w:t>
            </w:r>
            <w:proofErr w:type="spellEnd"/>
            <w:r w:rsidRPr="00F23C11">
              <w:rPr>
                <w:rFonts w:ascii="Arial" w:hAnsi="Arial" w:cs="Arial"/>
                <w:color w:val="000000"/>
                <w:sz w:val="22"/>
                <w:lang w:val="fr-CH"/>
              </w:rPr>
              <w:t xml:space="preserve"> concernés conservent </w:t>
            </w:r>
            <w:r w:rsidR="001F12CA">
              <w:rPr>
                <w:rFonts w:ascii="Arial" w:hAnsi="Arial" w:cs="Arial"/>
                <w:color w:val="000000"/>
                <w:sz w:val="22"/>
                <w:lang w:val="fr-CH"/>
              </w:rPr>
              <w:t xml:space="preserve">en outre </w:t>
            </w:r>
            <w:r w:rsidRPr="00F23C11">
              <w:rPr>
                <w:rFonts w:ascii="Arial" w:hAnsi="Arial" w:cs="Arial"/>
                <w:color w:val="000000"/>
                <w:sz w:val="22"/>
                <w:lang w:val="fr-CH"/>
              </w:rPr>
              <w:t>la possibilité de demander l’expropriation et le dédommagement pour la restriction qui leur est imposée.</w:t>
            </w:r>
          </w:p>
          <w:p w14:paraId="29B62B32" w14:textId="77777777" w:rsidR="00FC7E93" w:rsidRPr="00F23C11" w:rsidRDefault="00FC7E93" w:rsidP="00F23C11">
            <w:pPr>
              <w:shd w:val="clear" w:color="auto" w:fill="FFFFFF"/>
              <w:jc w:val="both"/>
              <w:rPr>
                <w:rFonts w:ascii="Arial" w:hAnsi="Arial" w:cs="Arial"/>
                <w:color w:val="000000"/>
                <w:sz w:val="22"/>
                <w:lang w:val="fr-CH"/>
              </w:rPr>
            </w:pPr>
          </w:p>
          <w:p w14:paraId="4391AFF5" w14:textId="760F28EC" w:rsidR="0071147A" w:rsidRPr="00340342" w:rsidRDefault="00F23C11" w:rsidP="00F23C11">
            <w:pPr>
              <w:shd w:val="clear" w:color="auto" w:fill="FFFFFF"/>
              <w:jc w:val="both"/>
              <w:rPr>
                <w:rFonts w:ascii="Arial" w:hAnsi="Arial" w:cs="Arial"/>
                <w:color w:val="000000"/>
                <w:sz w:val="22"/>
                <w:lang w:val="fr-CH"/>
              </w:rPr>
            </w:pPr>
            <w:r w:rsidRPr="00F23C11">
              <w:rPr>
                <w:rFonts w:ascii="Arial" w:hAnsi="Arial" w:cs="Arial"/>
                <w:color w:val="000000"/>
                <w:sz w:val="22"/>
                <w:lang w:val="fr-CH"/>
              </w:rPr>
              <w:t>(</w:t>
            </w:r>
            <w:proofErr w:type="gramStart"/>
            <w:r w:rsidRPr="00F23C11">
              <w:rPr>
                <w:rFonts w:ascii="Arial" w:hAnsi="Arial" w:cs="Arial"/>
                <w:color w:val="000000"/>
                <w:sz w:val="22"/>
                <w:lang w:val="fr-CH"/>
              </w:rPr>
              <w:t>c.</w:t>
            </w:r>
            <w:proofErr w:type="gramEnd"/>
            <w:r w:rsidRPr="00F23C11">
              <w:rPr>
                <w:rFonts w:ascii="Arial" w:hAnsi="Arial" w:cs="Arial"/>
                <w:color w:val="000000"/>
                <w:sz w:val="22"/>
                <w:lang w:val="fr-CH"/>
              </w:rPr>
              <w:t xml:space="preserve"> 6) Le recours est rejeté</w:t>
            </w:r>
            <w:r w:rsidR="00D2203B">
              <w:rPr>
                <w:rFonts w:ascii="Arial" w:hAnsi="Arial" w:cs="Arial"/>
                <w:color w:val="000000"/>
                <w:sz w:val="22"/>
                <w:lang w:val="fr-CH"/>
              </w:rPr>
              <w:t>.</w:t>
            </w:r>
          </w:p>
          <w:p w14:paraId="13380C46" w14:textId="61D2F844" w:rsidR="004D7825" w:rsidRPr="008652C7" w:rsidRDefault="004D7825" w:rsidP="000D07ED">
            <w:pPr>
              <w:shd w:val="clear" w:color="auto" w:fill="FFFFFF"/>
              <w:jc w:val="both"/>
              <w:rPr>
                <w:rFonts w:ascii="Arial" w:hAnsi="Arial" w:cs="Arial"/>
                <w:color w:val="000000"/>
                <w:sz w:val="22"/>
              </w:rPr>
            </w:pPr>
          </w:p>
        </w:tc>
      </w:tr>
    </w:tbl>
    <w:p w14:paraId="73A01EB1" w14:textId="6D17A977" w:rsidR="00D8112F" w:rsidRPr="00DB0E2A" w:rsidRDefault="00D8112F" w:rsidP="00CB158E">
      <w:pPr>
        <w:rPr>
          <w:rFonts w:ascii="Arial" w:hAnsi="Arial" w:cs="Arial"/>
          <w:sz w:val="32"/>
          <w:szCs w:val="32"/>
        </w:rPr>
      </w:pPr>
    </w:p>
    <w:sectPr w:rsidR="00D8112F" w:rsidRPr="00DB0E2A" w:rsidSect="00541903">
      <w:headerReference w:type="default" r:id="rId7"/>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AB047" w14:textId="77777777" w:rsidR="00993951" w:rsidRDefault="00993951">
      <w:r>
        <w:separator/>
      </w:r>
    </w:p>
  </w:endnote>
  <w:endnote w:type="continuationSeparator" w:id="0">
    <w:p w14:paraId="3E6C8B30" w14:textId="77777777" w:rsidR="00993951" w:rsidRDefault="0099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337956"/>
      <w:docPartObj>
        <w:docPartGallery w:val="Page Numbers (Bottom of Page)"/>
        <w:docPartUnique/>
      </w:docPartObj>
    </w:sdtPr>
    <w:sdtContent>
      <w:p w14:paraId="11D1308B" w14:textId="77777777" w:rsidR="00CF2D85" w:rsidRDefault="00760F44">
        <w:pPr>
          <w:pStyle w:val="Pieddepage"/>
          <w:jc w:val="center"/>
        </w:pPr>
        <w:r>
          <w:fldChar w:fldCharType="begin"/>
        </w:r>
        <w:r>
          <w:instrText>PAGE   \* MERGEFORMAT</w:instrText>
        </w:r>
        <w:r>
          <w:fldChar w:fldCharType="separate"/>
        </w:r>
        <w:r>
          <w:t>2</w:t>
        </w:r>
        <w:r>
          <w:fldChar w:fldCharType="end"/>
        </w:r>
      </w:p>
    </w:sdtContent>
  </w:sdt>
  <w:p w14:paraId="2463A4D2" w14:textId="77777777" w:rsidR="00CF2D85" w:rsidRDefault="00CF2D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0570" w14:textId="77777777" w:rsidR="00993951" w:rsidRDefault="00993951">
      <w:r>
        <w:separator/>
      </w:r>
    </w:p>
  </w:footnote>
  <w:footnote w:type="continuationSeparator" w:id="0">
    <w:p w14:paraId="465469E7" w14:textId="77777777" w:rsidR="00993951" w:rsidRDefault="0099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29A6" w14:textId="2B233F8B" w:rsidR="001F1FD3" w:rsidRDefault="001F1FD3">
    <w:pPr>
      <w:pStyle w:val="En-tte"/>
    </w:pPr>
    <w:r>
      <w:rPr>
        <w:noProof/>
      </w:rPr>
      <w:drawing>
        <wp:inline distT="0" distB="0" distL="0" distR="0" wp14:anchorId="02497039" wp14:editId="0F5C2F1D">
          <wp:extent cx="6645910" cy="1171575"/>
          <wp:effectExtent l="0" t="0" r="254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64591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E6024"/>
    <w:multiLevelType w:val="hybridMultilevel"/>
    <w:tmpl w:val="867CC9F0"/>
    <w:lvl w:ilvl="0" w:tplc="C08437EC">
      <w:start w:val="1"/>
      <w:numFmt w:val="upperLetter"/>
      <w:lvlText w:val="%1."/>
      <w:lvlJc w:val="left"/>
      <w:pPr>
        <w:ind w:left="720" w:hanging="360"/>
      </w:pPr>
      <w:rPr>
        <w:rFonts w:hint="default"/>
      </w:rPr>
    </w:lvl>
    <w:lvl w:ilvl="1" w:tplc="D20E2342" w:tentative="1">
      <w:start w:val="1"/>
      <w:numFmt w:val="lowerLetter"/>
      <w:lvlText w:val="%2."/>
      <w:lvlJc w:val="left"/>
      <w:pPr>
        <w:ind w:left="1440" w:hanging="360"/>
      </w:pPr>
    </w:lvl>
    <w:lvl w:ilvl="2" w:tplc="DDFA470A" w:tentative="1">
      <w:start w:val="1"/>
      <w:numFmt w:val="lowerRoman"/>
      <w:lvlText w:val="%3."/>
      <w:lvlJc w:val="right"/>
      <w:pPr>
        <w:ind w:left="2160" w:hanging="180"/>
      </w:pPr>
    </w:lvl>
    <w:lvl w:ilvl="3" w:tplc="D0E0E1A0" w:tentative="1">
      <w:start w:val="1"/>
      <w:numFmt w:val="decimal"/>
      <w:lvlText w:val="%4."/>
      <w:lvlJc w:val="left"/>
      <w:pPr>
        <w:ind w:left="2880" w:hanging="360"/>
      </w:pPr>
    </w:lvl>
    <w:lvl w:ilvl="4" w:tplc="731A2B82" w:tentative="1">
      <w:start w:val="1"/>
      <w:numFmt w:val="lowerLetter"/>
      <w:lvlText w:val="%5."/>
      <w:lvlJc w:val="left"/>
      <w:pPr>
        <w:ind w:left="3600" w:hanging="360"/>
      </w:pPr>
    </w:lvl>
    <w:lvl w:ilvl="5" w:tplc="7BC00FCA" w:tentative="1">
      <w:start w:val="1"/>
      <w:numFmt w:val="lowerRoman"/>
      <w:lvlText w:val="%6."/>
      <w:lvlJc w:val="right"/>
      <w:pPr>
        <w:ind w:left="4320" w:hanging="180"/>
      </w:pPr>
    </w:lvl>
    <w:lvl w:ilvl="6" w:tplc="1F38E97C" w:tentative="1">
      <w:start w:val="1"/>
      <w:numFmt w:val="decimal"/>
      <w:lvlText w:val="%7."/>
      <w:lvlJc w:val="left"/>
      <w:pPr>
        <w:ind w:left="5040" w:hanging="360"/>
      </w:pPr>
    </w:lvl>
    <w:lvl w:ilvl="7" w:tplc="F330073E" w:tentative="1">
      <w:start w:val="1"/>
      <w:numFmt w:val="lowerLetter"/>
      <w:lvlText w:val="%8."/>
      <w:lvlJc w:val="left"/>
      <w:pPr>
        <w:ind w:left="5760" w:hanging="360"/>
      </w:pPr>
    </w:lvl>
    <w:lvl w:ilvl="8" w:tplc="283C0A0C" w:tentative="1">
      <w:start w:val="1"/>
      <w:numFmt w:val="lowerRoman"/>
      <w:lvlText w:val="%9."/>
      <w:lvlJc w:val="right"/>
      <w:pPr>
        <w:ind w:left="6480" w:hanging="180"/>
      </w:pPr>
    </w:lvl>
  </w:abstractNum>
  <w:abstractNum w:abstractNumId="1" w15:restartNumberingAfterBreak="0">
    <w:nsid w:val="5A774BA7"/>
    <w:multiLevelType w:val="hybridMultilevel"/>
    <w:tmpl w:val="D6506A3E"/>
    <w:lvl w:ilvl="0" w:tplc="FA3A0F30">
      <w:start w:val="1"/>
      <w:numFmt w:val="upperLetter"/>
      <w:lvlText w:val="%1."/>
      <w:lvlJc w:val="left"/>
      <w:pPr>
        <w:ind w:left="720" w:hanging="360"/>
      </w:pPr>
      <w:rPr>
        <w:rFonts w:hint="default"/>
      </w:rPr>
    </w:lvl>
    <w:lvl w:ilvl="1" w:tplc="FD787A24" w:tentative="1">
      <w:start w:val="1"/>
      <w:numFmt w:val="lowerLetter"/>
      <w:lvlText w:val="%2."/>
      <w:lvlJc w:val="left"/>
      <w:pPr>
        <w:ind w:left="1440" w:hanging="360"/>
      </w:pPr>
    </w:lvl>
    <w:lvl w:ilvl="2" w:tplc="3D041BAA" w:tentative="1">
      <w:start w:val="1"/>
      <w:numFmt w:val="lowerRoman"/>
      <w:lvlText w:val="%3."/>
      <w:lvlJc w:val="right"/>
      <w:pPr>
        <w:ind w:left="2160" w:hanging="180"/>
      </w:pPr>
    </w:lvl>
    <w:lvl w:ilvl="3" w:tplc="C220D03C" w:tentative="1">
      <w:start w:val="1"/>
      <w:numFmt w:val="decimal"/>
      <w:lvlText w:val="%4."/>
      <w:lvlJc w:val="left"/>
      <w:pPr>
        <w:ind w:left="2880" w:hanging="360"/>
      </w:pPr>
    </w:lvl>
    <w:lvl w:ilvl="4" w:tplc="41DE6946" w:tentative="1">
      <w:start w:val="1"/>
      <w:numFmt w:val="lowerLetter"/>
      <w:lvlText w:val="%5."/>
      <w:lvlJc w:val="left"/>
      <w:pPr>
        <w:ind w:left="3600" w:hanging="360"/>
      </w:pPr>
    </w:lvl>
    <w:lvl w:ilvl="5" w:tplc="3E98B78A" w:tentative="1">
      <w:start w:val="1"/>
      <w:numFmt w:val="lowerRoman"/>
      <w:lvlText w:val="%6."/>
      <w:lvlJc w:val="right"/>
      <w:pPr>
        <w:ind w:left="4320" w:hanging="180"/>
      </w:pPr>
    </w:lvl>
    <w:lvl w:ilvl="6" w:tplc="C1D49BD8" w:tentative="1">
      <w:start w:val="1"/>
      <w:numFmt w:val="decimal"/>
      <w:lvlText w:val="%7."/>
      <w:lvlJc w:val="left"/>
      <w:pPr>
        <w:ind w:left="5040" w:hanging="360"/>
      </w:pPr>
    </w:lvl>
    <w:lvl w:ilvl="7" w:tplc="5D723A0A" w:tentative="1">
      <w:start w:val="1"/>
      <w:numFmt w:val="lowerLetter"/>
      <w:lvlText w:val="%8."/>
      <w:lvlJc w:val="left"/>
      <w:pPr>
        <w:ind w:left="5760" w:hanging="360"/>
      </w:pPr>
    </w:lvl>
    <w:lvl w:ilvl="8" w:tplc="13D2ADFE" w:tentative="1">
      <w:start w:val="1"/>
      <w:numFmt w:val="lowerRoman"/>
      <w:lvlText w:val="%9."/>
      <w:lvlJc w:val="right"/>
      <w:pPr>
        <w:ind w:left="6480" w:hanging="180"/>
      </w:pPr>
    </w:lvl>
  </w:abstractNum>
  <w:abstractNum w:abstractNumId="2" w15:restartNumberingAfterBreak="0">
    <w:nsid w:val="64B96CAC"/>
    <w:multiLevelType w:val="hybridMultilevel"/>
    <w:tmpl w:val="C984667A"/>
    <w:lvl w:ilvl="0" w:tplc="49AA4D1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97415914">
    <w:abstractNumId w:val="0"/>
  </w:num>
  <w:num w:numId="2" w16cid:durableId="182213631">
    <w:abstractNumId w:val="1"/>
  </w:num>
  <w:num w:numId="3" w16cid:durableId="870530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E9"/>
    <w:rsid w:val="000017AD"/>
    <w:rsid w:val="000061A0"/>
    <w:rsid w:val="0001262B"/>
    <w:rsid w:val="00020393"/>
    <w:rsid w:val="000243D2"/>
    <w:rsid w:val="00025B1C"/>
    <w:rsid w:val="00026A20"/>
    <w:rsid w:val="00033E3C"/>
    <w:rsid w:val="00035282"/>
    <w:rsid w:val="00035305"/>
    <w:rsid w:val="00036AC2"/>
    <w:rsid w:val="0004606D"/>
    <w:rsid w:val="00047794"/>
    <w:rsid w:val="00047A13"/>
    <w:rsid w:val="000533D2"/>
    <w:rsid w:val="00053808"/>
    <w:rsid w:val="00057BA8"/>
    <w:rsid w:val="00061BD0"/>
    <w:rsid w:val="0006293F"/>
    <w:rsid w:val="00065D9E"/>
    <w:rsid w:val="00070618"/>
    <w:rsid w:val="00075C86"/>
    <w:rsid w:val="000809AF"/>
    <w:rsid w:val="00082FBC"/>
    <w:rsid w:val="00083957"/>
    <w:rsid w:val="000858DB"/>
    <w:rsid w:val="00091D24"/>
    <w:rsid w:val="0009283A"/>
    <w:rsid w:val="00093246"/>
    <w:rsid w:val="00095A3A"/>
    <w:rsid w:val="00097252"/>
    <w:rsid w:val="000A0C29"/>
    <w:rsid w:val="000A1597"/>
    <w:rsid w:val="000B2630"/>
    <w:rsid w:val="000B35DA"/>
    <w:rsid w:val="000B3878"/>
    <w:rsid w:val="000B4275"/>
    <w:rsid w:val="000B4E66"/>
    <w:rsid w:val="000B7516"/>
    <w:rsid w:val="000C462C"/>
    <w:rsid w:val="000D015D"/>
    <w:rsid w:val="000D07ED"/>
    <w:rsid w:val="000D0D3F"/>
    <w:rsid w:val="000D4170"/>
    <w:rsid w:val="000D59BC"/>
    <w:rsid w:val="000D795C"/>
    <w:rsid w:val="000E02BB"/>
    <w:rsid w:val="000E5D08"/>
    <w:rsid w:val="000E601A"/>
    <w:rsid w:val="000F0992"/>
    <w:rsid w:val="000F0D95"/>
    <w:rsid w:val="000F0E3A"/>
    <w:rsid w:val="000F10EC"/>
    <w:rsid w:val="000F1452"/>
    <w:rsid w:val="000F2485"/>
    <w:rsid w:val="000F2B5B"/>
    <w:rsid w:val="000F5C98"/>
    <w:rsid w:val="00101B38"/>
    <w:rsid w:val="00106506"/>
    <w:rsid w:val="0010712F"/>
    <w:rsid w:val="00107DF6"/>
    <w:rsid w:val="00113135"/>
    <w:rsid w:val="00113B11"/>
    <w:rsid w:val="0011461B"/>
    <w:rsid w:val="00120063"/>
    <w:rsid w:val="00121755"/>
    <w:rsid w:val="00121777"/>
    <w:rsid w:val="00122A62"/>
    <w:rsid w:val="00127629"/>
    <w:rsid w:val="001276EB"/>
    <w:rsid w:val="00130D01"/>
    <w:rsid w:val="00132C37"/>
    <w:rsid w:val="00133C73"/>
    <w:rsid w:val="00140B7B"/>
    <w:rsid w:val="0014147F"/>
    <w:rsid w:val="00144F7F"/>
    <w:rsid w:val="00150909"/>
    <w:rsid w:val="00154F91"/>
    <w:rsid w:val="00155D39"/>
    <w:rsid w:val="00156FC5"/>
    <w:rsid w:val="00161DA5"/>
    <w:rsid w:val="0016244F"/>
    <w:rsid w:val="00167915"/>
    <w:rsid w:val="00174D24"/>
    <w:rsid w:val="00177C79"/>
    <w:rsid w:val="001812C6"/>
    <w:rsid w:val="001824AF"/>
    <w:rsid w:val="00185EEC"/>
    <w:rsid w:val="00187D11"/>
    <w:rsid w:val="001A1AEE"/>
    <w:rsid w:val="001A2763"/>
    <w:rsid w:val="001A42A0"/>
    <w:rsid w:val="001A7DD7"/>
    <w:rsid w:val="001B18C9"/>
    <w:rsid w:val="001B5A8F"/>
    <w:rsid w:val="001C123E"/>
    <w:rsid w:val="001D0B18"/>
    <w:rsid w:val="001D5B26"/>
    <w:rsid w:val="001D756D"/>
    <w:rsid w:val="001E01C4"/>
    <w:rsid w:val="001E12DB"/>
    <w:rsid w:val="001E3417"/>
    <w:rsid w:val="001E4C3A"/>
    <w:rsid w:val="001F0167"/>
    <w:rsid w:val="001F12CA"/>
    <w:rsid w:val="001F1FD3"/>
    <w:rsid w:val="001F2094"/>
    <w:rsid w:val="001F6DB9"/>
    <w:rsid w:val="00202A7B"/>
    <w:rsid w:val="00203417"/>
    <w:rsid w:val="002118E6"/>
    <w:rsid w:val="00215293"/>
    <w:rsid w:val="0021736A"/>
    <w:rsid w:val="00223368"/>
    <w:rsid w:val="002236C3"/>
    <w:rsid w:val="00223A87"/>
    <w:rsid w:val="0022466E"/>
    <w:rsid w:val="00225AD1"/>
    <w:rsid w:val="00235573"/>
    <w:rsid w:val="0024067F"/>
    <w:rsid w:val="002412A4"/>
    <w:rsid w:val="0024280B"/>
    <w:rsid w:val="0024372E"/>
    <w:rsid w:val="00244D2E"/>
    <w:rsid w:val="00247883"/>
    <w:rsid w:val="0025149E"/>
    <w:rsid w:val="002527EB"/>
    <w:rsid w:val="00252C0E"/>
    <w:rsid w:val="00272864"/>
    <w:rsid w:val="00277440"/>
    <w:rsid w:val="00277DBF"/>
    <w:rsid w:val="00283C51"/>
    <w:rsid w:val="0028621B"/>
    <w:rsid w:val="00287A1D"/>
    <w:rsid w:val="00291007"/>
    <w:rsid w:val="00293EEA"/>
    <w:rsid w:val="002962A5"/>
    <w:rsid w:val="002A0051"/>
    <w:rsid w:val="002A4B34"/>
    <w:rsid w:val="002A5DBE"/>
    <w:rsid w:val="002B41A2"/>
    <w:rsid w:val="002B4201"/>
    <w:rsid w:val="002C6310"/>
    <w:rsid w:val="002D221D"/>
    <w:rsid w:val="002D2363"/>
    <w:rsid w:val="002D3B9D"/>
    <w:rsid w:val="002D7DBE"/>
    <w:rsid w:val="002E1A37"/>
    <w:rsid w:val="002E1A83"/>
    <w:rsid w:val="002E583B"/>
    <w:rsid w:val="002E6773"/>
    <w:rsid w:val="002F1BB0"/>
    <w:rsid w:val="002F2126"/>
    <w:rsid w:val="002F397C"/>
    <w:rsid w:val="002F599C"/>
    <w:rsid w:val="0030002F"/>
    <w:rsid w:val="0030108E"/>
    <w:rsid w:val="0030200F"/>
    <w:rsid w:val="00302BE8"/>
    <w:rsid w:val="003130EB"/>
    <w:rsid w:val="003132C2"/>
    <w:rsid w:val="0031356D"/>
    <w:rsid w:val="00315615"/>
    <w:rsid w:val="0032057D"/>
    <w:rsid w:val="00322071"/>
    <w:rsid w:val="003233BC"/>
    <w:rsid w:val="00323B02"/>
    <w:rsid w:val="003244C2"/>
    <w:rsid w:val="0032731E"/>
    <w:rsid w:val="00331D47"/>
    <w:rsid w:val="00335FE4"/>
    <w:rsid w:val="00340342"/>
    <w:rsid w:val="003422A3"/>
    <w:rsid w:val="00344457"/>
    <w:rsid w:val="00344B77"/>
    <w:rsid w:val="00346E2F"/>
    <w:rsid w:val="00354316"/>
    <w:rsid w:val="00355E5E"/>
    <w:rsid w:val="00356809"/>
    <w:rsid w:val="00357F2F"/>
    <w:rsid w:val="003603D4"/>
    <w:rsid w:val="00361657"/>
    <w:rsid w:val="003617A4"/>
    <w:rsid w:val="003628CD"/>
    <w:rsid w:val="00363E1F"/>
    <w:rsid w:val="00365F53"/>
    <w:rsid w:val="00370584"/>
    <w:rsid w:val="00374150"/>
    <w:rsid w:val="00381846"/>
    <w:rsid w:val="00384332"/>
    <w:rsid w:val="00393E4D"/>
    <w:rsid w:val="003A72D7"/>
    <w:rsid w:val="003B5F35"/>
    <w:rsid w:val="003C49E3"/>
    <w:rsid w:val="003C779B"/>
    <w:rsid w:val="003D1722"/>
    <w:rsid w:val="003D2290"/>
    <w:rsid w:val="003D6D27"/>
    <w:rsid w:val="003E01AB"/>
    <w:rsid w:val="003E40FB"/>
    <w:rsid w:val="003F0545"/>
    <w:rsid w:val="003F21F9"/>
    <w:rsid w:val="003F2CCE"/>
    <w:rsid w:val="003F4059"/>
    <w:rsid w:val="003F4216"/>
    <w:rsid w:val="003F7C3C"/>
    <w:rsid w:val="00404251"/>
    <w:rsid w:val="004055B3"/>
    <w:rsid w:val="004130F7"/>
    <w:rsid w:val="00427073"/>
    <w:rsid w:val="00431D45"/>
    <w:rsid w:val="00431D4C"/>
    <w:rsid w:val="004410AE"/>
    <w:rsid w:val="004518BE"/>
    <w:rsid w:val="00466DCC"/>
    <w:rsid w:val="00475207"/>
    <w:rsid w:val="004812EF"/>
    <w:rsid w:val="00481328"/>
    <w:rsid w:val="00483592"/>
    <w:rsid w:val="00490822"/>
    <w:rsid w:val="00491EDD"/>
    <w:rsid w:val="00496AD6"/>
    <w:rsid w:val="004B1274"/>
    <w:rsid w:val="004B21C5"/>
    <w:rsid w:val="004B34D9"/>
    <w:rsid w:val="004B58FE"/>
    <w:rsid w:val="004C152D"/>
    <w:rsid w:val="004D7825"/>
    <w:rsid w:val="004E0A9E"/>
    <w:rsid w:val="004E16FF"/>
    <w:rsid w:val="004E2CB9"/>
    <w:rsid w:val="004E41DD"/>
    <w:rsid w:val="004E7AE6"/>
    <w:rsid w:val="004F1087"/>
    <w:rsid w:val="004F25FD"/>
    <w:rsid w:val="004F3382"/>
    <w:rsid w:val="004F4E9E"/>
    <w:rsid w:val="005016D5"/>
    <w:rsid w:val="00503F12"/>
    <w:rsid w:val="00504F12"/>
    <w:rsid w:val="00506060"/>
    <w:rsid w:val="0051335E"/>
    <w:rsid w:val="005133CF"/>
    <w:rsid w:val="0051732A"/>
    <w:rsid w:val="00523630"/>
    <w:rsid w:val="00525A9A"/>
    <w:rsid w:val="005309F2"/>
    <w:rsid w:val="005344CC"/>
    <w:rsid w:val="0053625F"/>
    <w:rsid w:val="0053684D"/>
    <w:rsid w:val="00541903"/>
    <w:rsid w:val="00542298"/>
    <w:rsid w:val="00544A15"/>
    <w:rsid w:val="00545A0E"/>
    <w:rsid w:val="00546323"/>
    <w:rsid w:val="00552851"/>
    <w:rsid w:val="00552A92"/>
    <w:rsid w:val="00554C16"/>
    <w:rsid w:val="0055626F"/>
    <w:rsid w:val="00560555"/>
    <w:rsid w:val="00565099"/>
    <w:rsid w:val="00565E1C"/>
    <w:rsid w:val="00566A95"/>
    <w:rsid w:val="00567BBE"/>
    <w:rsid w:val="00570B2C"/>
    <w:rsid w:val="005765ED"/>
    <w:rsid w:val="005947B0"/>
    <w:rsid w:val="00596A3E"/>
    <w:rsid w:val="0059710A"/>
    <w:rsid w:val="005A04E9"/>
    <w:rsid w:val="005A13A5"/>
    <w:rsid w:val="005A18B2"/>
    <w:rsid w:val="005A1ACC"/>
    <w:rsid w:val="005A7153"/>
    <w:rsid w:val="005A7D6A"/>
    <w:rsid w:val="005B07DF"/>
    <w:rsid w:val="005B0A75"/>
    <w:rsid w:val="005B1045"/>
    <w:rsid w:val="005B5BF9"/>
    <w:rsid w:val="005B60B7"/>
    <w:rsid w:val="005B68A2"/>
    <w:rsid w:val="005B75C3"/>
    <w:rsid w:val="005C124B"/>
    <w:rsid w:val="005C6B87"/>
    <w:rsid w:val="005C7442"/>
    <w:rsid w:val="005D0810"/>
    <w:rsid w:val="005D1F7A"/>
    <w:rsid w:val="005D2319"/>
    <w:rsid w:val="005D39DA"/>
    <w:rsid w:val="005D6638"/>
    <w:rsid w:val="005E6333"/>
    <w:rsid w:val="005E71A4"/>
    <w:rsid w:val="005F1A95"/>
    <w:rsid w:val="005F1F52"/>
    <w:rsid w:val="005F6779"/>
    <w:rsid w:val="005F6B39"/>
    <w:rsid w:val="005F7D7E"/>
    <w:rsid w:val="00600701"/>
    <w:rsid w:val="00604494"/>
    <w:rsid w:val="00605E11"/>
    <w:rsid w:val="00607872"/>
    <w:rsid w:val="0061248E"/>
    <w:rsid w:val="00613232"/>
    <w:rsid w:val="00613F13"/>
    <w:rsid w:val="00614667"/>
    <w:rsid w:val="0062268F"/>
    <w:rsid w:val="00624315"/>
    <w:rsid w:val="006303FF"/>
    <w:rsid w:val="0063324D"/>
    <w:rsid w:val="00633C7B"/>
    <w:rsid w:val="00634759"/>
    <w:rsid w:val="006371E3"/>
    <w:rsid w:val="00637995"/>
    <w:rsid w:val="00641D55"/>
    <w:rsid w:val="00654B8E"/>
    <w:rsid w:val="006557F3"/>
    <w:rsid w:val="00656437"/>
    <w:rsid w:val="0065708A"/>
    <w:rsid w:val="00666AF7"/>
    <w:rsid w:val="00672000"/>
    <w:rsid w:val="00676614"/>
    <w:rsid w:val="00677486"/>
    <w:rsid w:val="00677CEC"/>
    <w:rsid w:val="00685598"/>
    <w:rsid w:val="0068575E"/>
    <w:rsid w:val="00693572"/>
    <w:rsid w:val="00696F8F"/>
    <w:rsid w:val="006A28A6"/>
    <w:rsid w:val="006B14E1"/>
    <w:rsid w:val="006B1A2A"/>
    <w:rsid w:val="006B3261"/>
    <w:rsid w:val="006C1E40"/>
    <w:rsid w:val="006C2802"/>
    <w:rsid w:val="006D1514"/>
    <w:rsid w:val="006D4D13"/>
    <w:rsid w:val="006D7A33"/>
    <w:rsid w:val="006E0DCA"/>
    <w:rsid w:val="006E1CBB"/>
    <w:rsid w:val="006E5649"/>
    <w:rsid w:val="006F0E8B"/>
    <w:rsid w:val="006F5488"/>
    <w:rsid w:val="0070347A"/>
    <w:rsid w:val="0071147A"/>
    <w:rsid w:val="007124BB"/>
    <w:rsid w:val="00712FE1"/>
    <w:rsid w:val="007145D6"/>
    <w:rsid w:val="00714F75"/>
    <w:rsid w:val="007166DF"/>
    <w:rsid w:val="0072242C"/>
    <w:rsid w:val="00723211"/>
    <w:rsid w:val="007308BA"/>
    <w:rsid w:val="00733435"/>
    <w:rsid w:val="0073482B"/>
    <w:rsid w:val="007356CB"/>
    <w:rsid w:val="00735DA1"/>
    <w:rsid w:val="007369A4"/>
    <w:rsid w:val="007411EF"/>
    <w:rsid w:val="007437EF"/>
    <w:rsid w:val="0074523E"/>
    <w:rsid w:val="0074531B"/>
    <w:rsid w:val="007526D2"/>
    <w:rsid w:val="00753BA0"/>
    <w:rsid w:val="00754D6D"/>
    <w:rsid w:val="00760517"/>
    <w:rsid w:val="00760C40"/>
    <w:rsid w:val="00760F44"/>
    <w:rsid w:val="00762A8C"/>
    <w:rsid w:val="00770318"/>
    <w:rsid w:val="007710CD"/>
    <w:rsid w:val="007717E8"/>
    <w:rsid w:val="0077505B"/>
    <w:rsid w:val="00775E93"/>
    <w:rsid w:val="0077717E"/>
    <w:rsid w:val="007803E5"/>
    <w:rsid w:val="0078382B"/>
    <w:rsid w:val="00783C3E"/>
    <w:rsid w:val="00791010"/>
    <w:rsid w:val="007915AF"/>
    <w:rsid w:val="007929CB"/>
    <w:rsid w:val="00792A5A"/>
    <w:rsid w:val="007946E5"/>
    <w:rsid w:val="00794FBF"/>
    <w:rsid w:val="007A04CB"/>
    <w:rsid w:val="007A08A8"/>
    <w:rsid w:val="007A0BCE"/>
    <w:rsid w:val="007A0CBE"/>
    <w:rsid w:val="007A1863"/>
    <w:rsid w:val="007B1C27"/>
    <w:rsid w:val="007B401F"/>
    <w:rsid w:val="007B4BC6"/>
    <w:rsid w:val="007B4CEF"/>
    <w:rsid w:val="007B6258"/>
    <w:rsid w:val="007B7D6B"/>
    <w:rsid w:val="007C1038"/>
    <w:rsid w:val="007C1D20"/>
    <w:rsid w:val="007C6EAE"/>
    <w:rsid w:val="007D0063"/>
    <w:rsid w:val="007D07CC"/>
    <w:rsid w:val="007D1A66"/>
    <w:rsid w:val="007D36D4"/>
    <w:rsid w:val="007E1E8C"/>
    <w:rsid w:val="007E4B26"/>
    <w:rsid w:val="007E56AE"/>
    <w:rsid w:val="00801E2A"/>
    <w:rsid w:val="00805268"/>
    <w:rsid w:val="00807BBF"/>
    <w:rsid w:val="00810310"/>
    <w:rsid w:val="00812C1B"/>
    <w:rsid w:val="00820058"/>
    <w:rsid w:val="00824642"/>
    <w:rsid w:val="00825B98"/>
    <w:rsid w:val="00840B5C"/>
    <w:rsid w:val="0084182B"/>
    <w:rsid w:val="0084187A"/>
    <w:rsid w:val="0084445A"/>
    <w:rsid w:val="00844F66"/>
    <w:rsid w:val="008462E4"/>
    <w:rsid w:val="008477AE"/>
    <w:rsid w:val="008540AB"/>
    <w:rsid w:val="00862AB8"/>
    <w:rsid w:val="00863BBA"/>
    <w:rsid w:val="008652C7"/>
    <w:rsid w:val="0086741E"/>
    <w:rsid w:val="00870008"/>
    <w:rsid w:val="00870665"/>
    <w:rsid w:val="00870852"/>
    <w:rsid w:val="00871A0E"/>
    <w:rsid w:val="00873012"/>
    <w:rsid w:val="00875CF3"/>
    <w:rsid w:val="00876E55"/>
    <w:rsid w:val="00877B13"/>
    <w:rsid w:val="00880C77"/>
    <w:rsid w:val="008811B7"/>
    <w:rsid w:val="00882764"/>
    <w:rsid w:val="008871DC"/>
    <w:rsid w:val="00894B61"/>
    <w:rsid w:val="00897282"/>
    <w:rsid w:val="008A664C"/>
    <w:rsid w:val="008A73EB"/>
    <w:rsid w:val="008B0514"/>
    <w:rsid w:val="008B1477"/>
    <w:rsid w:val="008B2867"/>
    <w:rsid w:val="008B36AB"/>
    <w:rsid w:val="008B3965"/>
    <w:rsid w:val="008B3CB7"/>
    <w:rsid w:val="008C66BF"/>
    <w:rsid w:val="008C7F1C"/>
    <w:rsid w:val="008D25CB"/>
    <w:rsid w:val="008D3250"/>
    <w:rsid w:val="008D5164"/>
    <w:rsid w:val="008E2C28"/>
    <w:rsid w:val="008E32A3"/>
    <w:rsid w:val="008E7925"/>
    <w:rsid w:val="008F06E1"/>
    <w:rsid w:val="008F0A38"/>
    <w:rsid w:val="008F3073"/>
    <w:rsid w:val="008F5F31"/>
    <w:rsid w:val="00903955"/>
    <w:rsid w:val="009049AE"/>
    <w:rsid w:val="00905A2B"/>
    <w:rsid w:val="00914E6A"/>
    <w:rsid w:val="00916FEE"/>
    <w:rsid w:val="00923784"/>
    <w:rsid w:val="009260E3"/>
    <w:rsid w:val="00926392"/>
    <w:rsid w:val="00927FE1"/>
    <w:rsid w:val="00930B79"/>
    <w:rsid w:val="009340B4"/>
    <w:rsid w:val="00934DF8"/>
    <w:rsid w:val="009411CF"/>
    <w:rsid w:val="00942629"/>
    <w:rsid w:val="00942837"/>
    <w:rsid w:val="00943EE0"/>
    <w:rsid w:val="0094692E"/>
    <w:rsid w:val="00961BA8"/>
    <w:rsid w:val="0096394A"/>
    <w:rsid w:val="0096458F"/>
    <w:rsid w:val="0096745E"/>
    <w:rsid w:val="00967BE4"/>
    <w:rsid w:val="00971B2C"/>
    <w:rsid w:val="00973A68"/>
    <w:rsid w:val="00974B4C"/>
    <w:rsid w:val="00974D37"/>
    <w:rsid w:val="00975E78"/>
    <w:rsid w:val="009768F2"/>
    <w:rsid w:val="009769B3"/>
    <w:rsid w:val="00980037"/>
    <w:rsid w:val="00981014"/>
    <w:rsid w:val="00987C45"/>
    <w:rsid w:val="00990A7D"/>
    <w:rsid w:val="00993951"/>
    <w:rsid w:val="00994AD8"/>
    <w:rsid w:val="00996CEF"/>
    <w:rsid w:val="009A13A1"/>
    <w:rsid w:val="009A349B"/>
    <w:rsid w:val="009A7596"/>
    <w:rsid w:val="009B1855"/>
    <w:rsid w:val="009B1F90"/>
    <w:rsid w:val="009B3354"/>
    <w:rsid w:val="009B47CE"/>
    <w:rsid w:val="009C2479"/>
    <w:rsid w:val="009C2D11"/>
    <w:rsid w:val="009C4DB0"/>
    <w:rsid w:val="009D0E90"/>
    <w:rsid w:val="009D2F7B"/>
    <w:rsid w:val="009D4B54"/>
    <w:rsid w:val="009D6C65"/>
    <w:rsid w:val="009E0FA5"/>
    <w:rsid w:val="009E35CC"/>
    <w:rsid w:val="009E3D5F"/>
    <w:rsid w:val="009E5D2E"/>
    <w:rsid w:val="009F4778"/>
    <w:rsid w:val="009F50F9"/>
    <w:rsid w:val="009F5E30"/>
    <w:rsid w:val="009F7A9F"/>
    <w:rsid w:val="00A042F5"/>
    <w:rsid w:val="00A075CE"/>
    <w:rsid w:val="00A10E8B"/>
    <w:rsid w:val="00A12C2A"/>
    <w:rsid w:val="00A1306F"/>
    <w:rsid w:val="00A13CA4"/>
    <w:rsid w:val="00A16063"/>
    <w:rsid w:val="00A16E62"/>
    <w:rsid w:val="00A17ECD"/>
    <w:rsid w:val="00A20C22"/>
    <w:rsid w:val="00A25133"/>
    <w:rsid w:val="00A30650"/>
    <w:rsid w:val="00A333A6"/>
    <w:rsid w:val="00A40921"/>
    <w:rsid w:val="00A41272"/>
    <w:rsid w:val="00A421BE"/>
    <w:rsid w:val="00A44D9D"/>
    <w:rsid w:val="00A51DC3"/>
    <w:rsid w:val="00A53E6E"/>
    <w:rsid w:val="00A55ABA"/>
    <w:rsid w:val="00A55BDF"/>
    <w:rsid w:val="00A574B4"/>
    <w:rsid w:val="00A60CF3"/>
    <w:rsid w:val="00A67AD8"/>
    <w:rsid w:val="00A712CD"/>
    <w:rsid w:val="00A720CB"/>
    <w:rsid w:val="00A828C0"/>
    <w:rsid w:val="00A86F5B"/>
    <w:rsid w:val="00A932ED"/>
    <w:rsid w:val="00A96C95"/>
    <w:rsid w:val="00AA63C2"/>
    <w:rsid w:val="00AA6F15"/>
    <w:rsid w:val="00AB02AE"/>
    <w:rsid w:val="00AB0D0B"/>
    <w:rsid w:val="00AB2A74"/>
    <w:rsid w:val="00AB3191"/>
    <w:rsid w:val="00AB6D1E"/>
    <w:rsid w:val="00AB7309"/>
    <w:rsid w:val="00AC0544"/>
    <w:rsid w:val="00AC17B5"/>
    <w:rsid w:val="00AD1634"/>
    <w:rsid w:val="00AD1D0A"/>
    <w:rsid w:val="00AD3BCD"/>
    <w:rsid w:val="00AE11CC"/>
    <w:rsid w:val="00AE140B"/>
    <w:rsid w:val="00AF7F63"/>
    <w:rsid w:val="00B0061B"/>
    <w:rsid w:val="00B01F15"/>
    <w:rsid w:val="00B071E0"/>
    <w:rsid w:val="00B072A2"/>
    <w:rsid w:val="00B1093D"/>
    <w:rsid w:val="00B12478"/>
    <w:rsid w:val="00B1331D"/>
    <w:rsid w:val="00B15DC3"/>
    <w:rsid w:val="00B22EA5"/>
    <w:rsid w:val="00B23904"/>
    <w:rsid w:val="00B323FC"/>
    <w:rsid w:val="00B329D4"/>
    <w:rsid w:val="00B354F3"/>
    <w:rsid w:val="00B36307"/>
    <w:rsid w:val="00B374C7"/>
    <w:rsid w:val="00B50BD4"/>
    <w:rsid w:val="00B518C7"/>
    <w:rsid w:val="00B51A10"/>
    <w:rsid w:val="00B57973"/>
    <w:rsid w:val="00B57D6F"/>
    <w:rsid w:val="00B60E25"/>
    <w:rsid w:val="00B70E24"/>
    <w:rsid w:val="00B71699"/>
    <w:rsid w:val="00B71D59"/>
    <w:rsid w:val="00B73E34"/>
    <w:rsid w:val="00B73ECB"/>
    <w:rsid w:val="00B76B0E"/>
    <w:rsid w:val="00B7703D"/>
    <w:rsid w:val="00B770CA"/>
    <w:rsid w:val="00B82304"/>
    <w:rsid w:val="00B835A2"/>
    <w:rsid w:val="00B843AB"/>
    <w:rsid w:val="00B84B99"/>
    <w:rsid w:val="00BA26E1"/>
    <w:rsid w:val="00BA34DA"/>
    <w:rsid w:val="00BA3A78"/>
    <w:rsid w:val="00BA3BB6"/>
    <w:rsid w:val="00BA5B9B"/>
    <w:rsid w:val="00BA6065"/>
    <w:rsid w:val="00BA6402"/>
    <w:rsid w:val="00BB3635"/>
    <w:rsid w:val="00BC1034"/>
    <w:rsid w:val="00BC624D"/>
    <w:rsid w:val="00BC6D73"/>
    <w:rsid w:val="00BC79BE"/>
    <w:rsid w:val="00BC7A4E"/>
    <w:rsid w:val="00BD1D98"/>
    <w:rsid w:val="00BD580B"/>
    <w:rsid w:val="00BD5ACC"/>
    <w:rsid w:val="00BE0075"/>
    <w:rsid w:val="00BE1008"/>
    <w:rsid w:val="00BE1645"/>
    <w:rsid w:val="00BE6F79"/>
    <w:rsid w:val="00BF0E2C"/>
    <w:rsid w:val="00BF5520"/>
    <w:rsid w:val="00C00788"/>
    <w:rsid w:val="00C01013"/>
    <w:rsid w:val="00C012E7"/>
    <w:rsid w:val="00C01CE3"/>
    <w:rsid w:val="00C02B5C"/>
    <w:rsid w:val="00C07655"/>
    <w:rsid w:val="00C174CA"/>
    <w:rsid w:val="00C200A7"/>
    <w:rsid w:val="00C2195B"/>
    <w:rsid w:val="00C21D72"/>
    <w:rsid w:val="00C2311F"/>
    <w:rsid w:val="00C32153"/>
    <w:rsid w:val="00C3693C"/>
    <w:rsid w:val="00C378FF"/>
    <w:rsid w:val="00C40117"/>
    <w:rsid w:val="00C40268"/>
    <w:rsid w:val="00C41CF1"/>
    <w:rsid w:val="00C41D72"/>
    <w:rsid w:val="00C47CBE"/>
    <w:rsid w:val="00C5161C"/>
    <w:rsid w:val="00C51F64"/>
    <w:rsid w:val="00C52D47"/>
    <w:rsid w:val="00C57E81"/>
    <w:rsid w:val="00C6145A"/>
    <w:rsid w:val="00C657AE"/>
    <w:rsid w:val="00C6637B"/>
    <w:rsid w:val="00C676ED"/>
    <w:rsid w:val="00C677AB"/>
    <w:rsid w:val="00C67B11"/>
    <w:rsid w:val="00C735DF"/>
    <w:rsid w:val="00C73CE7"/>
    <w:rsid w:val="00C7482B"/>
    <w:rsid w:val="00C75B12"/>
    <w:rsid w:val="00C75DB4"/>
    <w:rsid w:val="00C85141"/>
    <w:rsid w:val="00C875B7"/>
    <w:rsid w:val="00C93662"/>
    <w:rsid w:val="00C96FE2"/>
    <w:rsid w:val="00C97E72"/>
    <w:rsid w:val="00C97F69"/>
    <w:rsid w:val="00CA13DD"/>
    <w:rsid w:val="00CA1D82"/>
    <w:rsid w:val="00CA570C"/>
    <w:rsid w:val="00CB158E"/>
    <w:rsid w:val="00CB1AD2"/>
    <w:rsid w:val="00CB3C68"/>
    <w:rsid w:val="00CB44A2"/>
    <w:rsid w:val="00CB456A"/>
    <w:rsid w:val="00CB53BD"/>
    <w:rsid w:val="00CB53C2"/>
    <w:rsid w:val="00CB5BCF"/>
    <w:rsid w:val="00CB7321"/>
    <w:rsid w:val="00CC1A8B"/>
    <w:rsid w:val="00CC1B78"/>
    <w:rsid w:val="00CC1EC0"/>
    <w:rsid w:val="00CC20CB"/>
    <w:rsid w:val="00CC2720"/>
    <w:rsid w:val="00CC28C5"/>
    <w:rsid w:val="00CC514D"/>
    <w:rsid w:val="00CD26E4"/>
    <w:rsid w:val="00CD28D4"/>
    <w:rsid w:val="00CD7C88"/>
    <w:rsid w:val="00CE2F65"/>
    <w:rsid w:val="00CE4C8A"/>
    <w:rsid w:val="00CE73B8"/>
    <w:rsid w:val="00CE75A9"/>
    <w:rsid w:val="00CF2D85"/>
    <w:rsid w:val="00D03C35"/>
    <w:rsid w:val="00D04212"/>
    <w:rsid w:val="00D0636D"/>
    <w:rsid w:val="00D13902"/>
    <w:rsid w:val="00D13906"/>
    <w:rsid w:val="00D1692E"/>
    <w:rsid w:val="00D16C97"/>
    <w:rsid w:val="00D2203B"/>
    <w:rsid w:val="00D221DB"/>
    <w:rsid w:val="00D254FB"/>
    <w:rsid w:val="00D26C28"/>
    <w:rsid w:val="00D27223"/>
    <w:rsid w:val="00D27BC8"/>
    <w:rsid w:val="00D318F2"/>
    <w:rsid w:val="00D33645"/>
    <w:rsid w:val="00D33749"/>
    <w:rsid w:val="00D37EDE"/>
    <w:rsid w:val="00D40832"/>
    <w:rsid w:val="00D41F6E"/>
    <w:rsid w:val="00D4457C"/>
    <w:rsid w:val="00D51B7F"/>
    <w:rsid w:val="00D6072F"/>
    <w:rsid w:val="00D6441B"/>
    <w:rsid w:val="00D668C1"/>
    <w:rsid w:val="00D726BC"/>
    <w:rsid w:val="00D73317"/>
    <w:rsid w:val="00D75E3D"/>
    <w:rsid w:val="00D8112F"/>
    <w:rsid w:val="00D81E37"/>
    <w:rsid w:val="00D8519D"/>
    <w:rsid w:val="00D87948"/>
    <w:rsid w:val="00D90F61"/>
    <w:rsid w:val="00DA2EFD"/>
    <w:rsid w:val="00DA3DAF"/>
    <w:rsid w:val="00DA7089"/>
    <w:rsid w:val="00DA74D6"/>
    <w:rsid w:val="00DB0E2A"/>
    <w:rsid w:val="00DB26DA"/>
    <w:rsid w:val="00DC1728"/>
    <w:rsid w:val="00DC256D"/>
    <w:rsid w:val="00DC2767"/>
    <w:rsid w:val="00DC5B9D"/>
    <w:rsid w:val="00DC7429"/>
    <w:rsid w:val="00DD15FF"/>
    <w:rsid w:val="00DD21FE"/>
    <w:rsid w:val="00DE086A"/>
    <w:rsid w:val="00DE2FC9"/>
    <w:rsid w:val="00DE31A9"/>
    <w:rsid w:val="00DE5732"/>
    <w:rsid w:val="00DE59D5"/>
    <w:rsid w:val="00DF00DB"/>
    <w:rsid w:val="00DF22A0"/>
    <w:rsid w:val="00DF37C6"/>
    <w:rsid w:val="00E023E0"/>
    <w:rsid w:val="00E059C9"/>
    <w:rsid w:val="00E06B43"/>
    <w:rsid w:val="00E153A1"/>
    <w:rsid w:val="00E17316"/>
    <w:rsid w:val="00E2329E"/>
    <w:rsid w:val="00E306BA"/>
    <w:rsid w:val="00E372F0"/>
    <w:rsid w:val="00E4311E"/>
    <w:rsid w:val="00E44EB0"/>
    <w:rsid w:val="00E4588B"/>
    <w:rsid w:val="00E519F5"/>
    <w:rsid w:val="00E535A0"/>
    <w:rsid w:val="00E55557"/>
    <w:rsid w:val="00E55DBE"/>
    <w:rsid w:val="00E56B1E"/>
    <w:rsid w:val="00E57154"/>
    <w:rsid w:val="00E61359"/>
    <w:rsid w:val="00E63E20"/>
    <w:rsid w:val="00E731FB"/>
    <w:rsid w:val="00E82BC4"/>
    <w:rsid w:val="00E90936"/>
    <w:rsid w:val="00E92CCC"/>
    <w:rsid w:val="00E93BB5"/>
    <w:rsid w:val="00E94E49"/>
    <w:rsid w:val="00EA2314"/>
    <w:rsid w:val="00EA3A24"/>
    <w:rsid w:val="00EA5046"/>
    <w:rsid w:val="00EA56D1"/>
    <w:rsid w:val="00EA6081"/>
    <w:rsid w:val="00EA695F"/>
    <w:rsid w:val="00EB1F3A"/>
    <w:rsid w:val="00EB314A"/>
    <w:rsid w:val="00EB33DC"/>
    <w:rsid w:val="00EB665D"/>
    <w:rsid w:val="00EC08EA"/>
    <w:rsid w:val="00EC0B1E"/>
    <w:rsid w:val="00EC2A15"/>
    <w:rsid w:val="00EC3A2D"/>
    <w:rsid w:val="00EC73F5"/>
    <w:rsid w:val="00ED04E2"/>
    <w:rsid w:val="00ED2624"/>
    <w:rsid w:val="00ED3690"/>
    <w:rsid w:val="00ED468E"/>
    <w:rsid w:val="00EE4B0B"/>
    <w:rsid w:val="00EE6435"/>
    <w:rsid w:val="00EF1AB6"/>
    <w:rsid w:val="00EF569E"/>
    <w:rsid w:val="00EF7744"/>
    <w:rsid w:val="00F01519"/>
    <w:rsid w:val="00F0576A"/>
    <w:rsid w:val="00F06615"/>
    <w:rsid w:val="00F07645"/>
    <w:rsid w:val="00F102F3"/>
    <w:rsid w:val="00F1125D"/>
    <w:rsid w:val="00F12D24"/>
    <w:rsid w:val="00F14146"/>
    <w:rsid w:val="00F152C9"/>
    <w:rsid w:val="00F23C11"/>
    <w:rsid w:val="00F34794"/>
    <w:rsid w:val="00F362C9"/>
    <w:rsid w:val="00F36F25"/>
    <w:rsid w:val="00F41625"/>
    <w:rsid w:val="00F42B20"/>
    <w:rsid w:val="00F53AE2"/>
    <w:rsid w:val="00F53D4F"/>
    <w:rsid w:val="00F54C55"/>
    <w:rsid w:val="00F5514F"/>
    <w:rsid w:val="00F57235"/>
    <w:rsid w:val="00F818D4"/>
    <w:rsid w:val="00F843EB"/>
    <w:rsid w:val="00F905F6"/>
    <w:rsid w:val="00F90830"/>
    <w:rsid w:val="00F9496B"/>
    <w:rsid w:val="00FB0073"/>
    <w:rsid w:val="00FB1D2E"/>
    <w:rsid w:val="00FB2F4A"/>
    <w:rsid w:val="00FB399F"/>
    <w:rsid w:val="00FB5C3A"/>
    <w:rsid w:val="00FC2882"/>
    <w:rsid w:val="00FC4605"/>
    <w:rsid w:val="00FC4C9A"/>
    <w:rsid w:val="00FC5DA5"/>
    <w:rsid w:val="00FC7E93"/>
    <w:rsid w:val="00FD4786"/>
    <w:rsid w:val="00FD6693"/>
    <w:rsid w:val="00FE0EEF"/>
    <w:rsid w:val="00FE159D"/>
    <w:rsid w:val="00FE1C24"/>
    <w:rsid w:val="00FE2A3F"/>
    <w:rsid w:val="00FE6859"/>
    <w:rsid w:val="00FF167B"/>
    <w:rsid w:val="00FF2BF8"/>
    <w:rsid w:val="00FF65AC"/>
    <w:rsid w:val="00FF7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49737"/>
  <w14:defaultImageDpi w14:val="32767"/>
  <w15:docId w15:val="{B7862088-7815-4949-915D-8943DA7B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A04E9"/>
    <w:rPr>
      <w:rFonts w:ascii="Times New Roman" w:hAnsi="Times New Roman" w:cstheme="minorBidi"/>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04E9"/>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B47CE"/>
    <w:pPr>
      <w:tabs>
        <w:tab w:val="center" w:pos="4536"/>
        <w:tab w:val="right" w:pos="9072"/>
      </w:tabs>
    </w:pPr>
  </w:style>
  <w:style w:type="character" w:customStyle="1" w:styleId="En-tteCar">
    <w:name w:val="En-tête Car"/>
    <w:basedOn w:val="Policepardfaut"/>
    <w:link w:val="En-tte"/>
    <w:uiPriority w:val="99"/>
    <w:rsid w:val="009B47CE"/>
    <w:rPr>
      <w:rFonts w:ascii="Times New Roman" w:hAnsi="Times New Roman" w:cstheme="minorBidi"/>
      <w:sz w:val="24"/>
      <w:lang w:eastAsia="fr-FR"/>
    </w:rPr>
  </w:style>
  <w:style w:type="paragraph" w:styleId="Pieddepage">
    <w:name w:val="footer"/>
    <w:basedOn w:val="Normal"/>
    <w:link w:val="PieddepageCar"/>
    <w:uiPriority w:val="99"/>
    <w:unhideWhenUsed/>
    <w:rsid w:val="009B47CE"/>
    <w:pPr>
      <w:tabs>
        <w:tab w:val="center" w:pos="4536"/>
        <w:tab w:val="right" w:pos="9072"/>
      </w:tabs>
    </w:pPr>
  </w:style>
  <w:style w:type="character" w:customStyle="1" w:styleId="PieddepageCar">
    <w:name w:val="Pied de page Car"/>
    <w:basedOn w:val="Policepardfaut"/>
    <w:link w:val="Pieddepage"/>
    <w:uiPriority w:val="99"/>
    <w:rsid w:val="009B47CE"/>
    <w:rPr>
      <w:rFonts w:ascii="Times New Roman" w:hAnsi="Times New Roman" w:cstheme="minorBidi"/>
      <w:sz w:val="24"/>
      <w:lang w:eastAsia="fr-FR"/>
    </w:rPr>
  </w:style>
  <w:style w:type="character" w:styleId="Marquedecommentaire">
    <w:name w:val="annotation reference"/>
    <w:basedOn w:val="Policepardfaut"/>
    <w:uiPriority w:val="99"/>
    <w:semiHidden/>
    <w:unhideWhenUsed/>
    <w:rsid w:val="001E12DB"/>
    <w:rPr>
      <w:sz w:val="16"/>
      <w:szCs w:val="16"/>
    </w:rPr>
  </w:style>
  <w:style w:type="paragraph" w:styleId="Commentaire">
    <w:name w:val="annotation text"/>
    <w:basedOn w:val="Normal"/>
    <w:link w:val="CommentaireCar"/>
    <w:uiPriority w:val="99"/>
    <w:semiHidden/>
    <w:unhideWhenUsed/>
    <w:rsid w:val="001E12DB"/>
    <w:rPr>
      <w:sz w:val="20"/>
      <w:szCs w:val="20"/>
    </w:rPr>
  </w:style>
  <w:style w:type="character" w:customStyle="1" w:styleId="CommentaireCar">
    <w:name w:val="Commentaire Car"/>
    <w:basedOn w:val="Policepardfaut"/>
    <w:link w:val="Commentaire"/>
    <w:uiPriority w:val="99"/>
    <w:semiHidden/>
    <w:rsid w:val="001E12DB"/>
    <w:rPr>
      <w:rFonts w:ascii="Times New Roman" w:hAnsi="Times New Roman" w:cstheme="minorBidi"/>
      <w:sz w:val="20"/>
      <w:szCs w:val="20"/>
      <w:lang w:eastAsia="fr-FR"/>
    </w:rPr>
  </w:style>
  <w:style w:type="paragraph" w:styleId="Objetducommentaire">
    <w:name w:val="annotation subject"/>
    <w:basedOn w:val="Commentaire"/>
    <w:next w:val="Commentaire"/>
    <w:link w:val="ObjetducommentaireCar"/>
    <w:uiPriority w:val="99"/>
    <w:semiHidden/>
    <w:unhideWhenUsed/>
    <w:rsid w:val="001E12DB"/>
    <w:rPr>
      <w:b/>
      <w:bCs/>
    </w:rPr>
  </w:style>
  <w:style w:type="character" w:customStyle="1" w:styleId="ObjetducommentaireCar">
    <w:name w:val="Objet du commentaire Car"/>
    <w:basedOn w:val="CommentaireCar"/>
    <w:link w:val="Objetducommentaire"/>
    <w:uiPriority w:val="99"/>
    <w:semiHidden/>
    <w:rsid w:val="001E12DB"/>
    <w:rPr>
      <w:rFonts w:ascii="Times New Roman" w:hAnsi="Times New Roman" w:cstheme="minorBidi"/>
      <w:b/>
      <w:bCs/>
      <w:sz w:val="20"/>
      <w:szCs w:val="20"/>
      <w:lang w:eastAsia="fr-FR"/>
    </w:rPr>
  </w:style>
  <w:style w:type="paragraph" w:styleId="Textedebulles">
    <w:name w:val="Balloon Text"/>
    <w:basedOn w:val="Normal"/>
    <w:link w:val="TextedebullesCar"/>
    <w:uiPriority w:val="99"/>
    <w:semiHidden/>
    <w:unhideWhenUsed/>
    <w:rsid w:val="001E12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2DB"/>
    <w:rPr>
      <w:rFonts w:ascii="Segoe UI" w:hAnsi="Segoe UI" w:cs="Segoe UI"/>
      <w:sz w:val="18"/>
      <w:szCs w:val="18"/>
      <w:lang w:eastAsia="fr-FR"/>
    </w:rPr>
  </w:style>
  <w:style w:type="character" w:customStyle="1" w:styleId="artref">
    <w:name w:val="artref"/>
    <w:basedOn w:val="Policepardfaut"/>
    <w:rsid w:val="00AB0D0B"/>
  </w:style>
  <w:style w:type="paragraph" w:styleId="Paragraphedeliste">
    <w:name w:val="List Paragraph"/>
    <w:basedOn w:val="Normal"/>
    <w:uiPriority w:val="34"/>
    <w:qFormat/>
    <w:rsid w:val="00FE1C24"/>
    <w:pPr>
      <w:ind w:left="720"/>
      <w:contextualSpacing/>
    </w:pPr>
  </w:style>
  <w:style w:type="character" w:styleId="Lienhypertexte">
    <w:name w:val="Hyperlink"/>
    <w:basedOn w:val="Policepardfaut"/>
    <w:uiPriority w:val="99"/>
    <w:semiHidden/>
    <w:unhideWhenUsed/>
    <w:rsid w:val="00D72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fepitaux\Temp\Geste\OBE_Macro.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C:\Users\local_fepitaux\Temp\Geste\OBE_Macro.dot</Template>
  <TotalTime>2</TotalTime>
  <Pages>4</Pages>
  <Words>1155</Words>
  <Characters>6355</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Joanna</dc:creator>
  <cp:lastModifiedBy>REBETEZ Fanny</cp:lastModifiedBy>
  <cp:revision>4</cp:revision>
  <cp:lastPrinted>2021-06-14T08:21:00Z</cp:lastPrinted>
  <dcterms:created xsi:type="dcterms:W3CDTF">2025-02-25T12:49:00Z</dcterms:created>
  <dcterms:modified xsi:type="dcterms:W3CDTF">2025-02-25T12:53:00Z</dcterms:modified>
</cp:coreProperties>
</file>